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D9" w:rsidRPr="00197BD9" w:rsidRDefault="00197BD9" w:rsidP="00080B30">
      <w:pPr>
        <w:keepNext/>
        <w:keepLines/>
        <w:spacing w:before="120" w:after="120" w:line="276" w:lineRule="auto"/>
        <w:jc w:val="center"/>
        <w:outlineLvl w:val="1"/>
        <w:rPr>
          <w:rFonts w:ascii="Traditional Arabic" w:eastAsia="Times New Roman" w:hAnsi="Traditional Arabic" w:cs="Traditional Arabic"/>
          <w:b/>
          <w:bCs/>
          <w:sz w:val="32"/>
          <w:szCs w:val="32"/>
          <w:rtl/>
          <w:lang w:bidi="ar-EG"/>
        </w:rPr>
      </w:pPr>
      <w:r w:rsidRPr="00197BD9">
        <w:rPr>
          <w:rFonts w:ascii="Traditional Arabic" w:eastAsia="Times New Roman" w:hAnsi="Traditional Arabic" w:cs="Traditional Arabic"/>
          <w:b/>
          <w:bCs/>
          <w:sz w:val="32"/>
          <w:szCs w:val="32"/>
          <w:rtl/>
          <w:lang w:bidi="ar-EG"/>
        </w:rPr>
        <w:t>مشروعية الاشتغال في وقت</w:t>
      </w:r>
      <w:r w:rsidR="00080B30">
        <w:rPr>
          <w:rFonts w:ascii="Traditional Arabic" w:eastAsia="Times New Roman" w:hAnsi="Traditional Arabic" w:cs="Traditional Arabic" w:hint="cs"/>
          <w:b/>
          <w:bCs/>
          <w:sz w:val="32"/>
          <w:szCs w:val="32"/>
          <w:rtl/>
          <w:lang w:bidi="ar-EG"/>
        </w:rPr>
        <w:t xml:space="preserve"> الصباح</w:t>
      </w:r>
      <w:r w:rsidRPr="00197BD9">
        <w:rPr>
          <w:rFonts w:ascii="Traditional Arabic" w:eastAsia="Times New Roman" w:hAnsi="Traditional Arabic" w:cs="Traditional Arabic"/>
          <w:b/>
          <w:bCs/>
          <w:sz w:val="32"/>
          <w:szCs w:val="32"/>
          <w:rtl/>
          <w:lang w:bidi="ar-EG"/>
        </w:rPr>
        <w:t xml:space="preserve"> بما فيه المصلحة</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وربما اشتغل النبي - صلى الله عليه وسلم - في هذا الوقت بالشيء للحاجة واستباقا لحر النهار.</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 xml:space="preserve">وقد قال البخاري في باب التحريض على القتال: حدثنا عبد الله بن محمد، حدثنا معاوية بن عمرو، حدثنا أبو إسحاق، عن حميد، قال: سمعت أنسا - رضي الله عنه -، يقول: </w:t>
      </w:r>
      <w:r w:rsidRPr="00197BD9">
        <w:rPr>
          <w:rFonts w:ascii="Traditional Arabic" w:eastAsia="Calibri" w:hAnsi="Traditional Arabic" w:cs="Traditional Arabic"/>
          <w:b/>
          <w:bCs/>
          <w:sz w:val="32"/>
          <w:szCs w:val="32"/>
          <w:rtl/>
          <w:lang w:bidi="ar-EG"/>
        </w:rPr>
        <w:t>"خرج رسول الله صلى الله عليه وسلم إلى الخندق، فإذا المهاجرون والأنصار يحفرون في غداة باردة، فلم يكن لهم عبيد يعملون ذلك لهم، فلما رأى ما بهم من النص</w:t>
      </w:r>
      <w:bookmarkStart w:id="0" w:name="_GoBack"/>
      <w:bookmarkEnd w:id="0"/>
      <w:r w:rsidRPr="00197BD9">
        <w:rPr>
          <w:rFonts w:ascii="Traditional Arabic" w:eastAsia="Calibri" w:hAnsi="Traditional Arabic" w:cs="Traditional Arabic"/>
          <w:b/>
          <w:bCs/>
          <w:sz w:val="32"/>
          <w:szCs w:val="32"/>
          <w:rtl/>
          <w:lang w:bidi="ar-EG"/>
        </w:rPr>
        <w:t xml:space="preserve">ب والجوع، قال: </w:t>
      </w:r>
      <w:r w:rsidRPr="00197BD9">
        <w:rPr>
          <w:rFonts w:ascii="Traditional Arabic" w:eastAsia="Calibri" w:hAnsi="Traditional Arabic" w:cs="Traditional Arabic"/>
          <w:b/>
          <w:bCs/>
          <w:color w:val="0070C0"/>
          <w:sz w:val="32"/>
          <w:szCs w:val="32"/>
          <w:rtl/>
          <w:lang w:bidi="ar-EG"/>
        </w:rPr>
        <w:t>"اللهم إن العيش عيش الآخره، فاغفر للأنصار والمهاجره"</w:t>
      </w:r>
      <w:r w:rsidRPr="00197BD9">
        <w:rPr>
          <w:rFonts w:ascii="Traditional Arabic" w:eastAsia="Calibri" w:hAnsi="Traditional Arabic" w:cs="Traditional Arabic"/>
          <w:b/>
          <w:bCs/>
          <w:sz w:val="32"/>
          <w:szCs w:val="32"/>
          <w:rtl/>
          <w:lang w:bidi="ar-EG"/>
        </w:rPr>
        <w:t xml:space="preserve"> فقالوا مجيبين له: "نحن الذين بايعوا محمدا على الجهاد ما بقينا أبد"</w:t>
      </w:r>
      <w:r w:rsidRPr="00197BD9">
        <w:rPr>
          <w:rFonts w:ascii="Traditional Arabic" w:eastAsia="Calibri" w:hAnsi="Traditional Arabic" w:cs="Traditional Arabic"/>
          <w:sz w:val="32"/>
          <w:szCs w:val="32"/>
          <w:rtl/>
          <w:lang w:bidi="ar-EG"/>
        </w:rPr>
        <w:t xml:space="preserve"> </w:t>
      </w:r>
      <w:r w:rsidRPr="00197BD9">
        <w:rPr>
          <w:rFonts w:ascii="Traditional Arabic" w:eastAsia="Calibri" w:hAnsi="Traditional Arabic" w:cs="Traditional Arabic"/>
          <w:sz w:val="32"/>
          <w:szCs w:val="32"/>
          <w:vertAlign w:val="superscript"/>
          <w:rtl/>
          <w:lang w:bidi="ar-EG"/>
        </w:rPr>
        <w:footnoteReference w:id="1"/>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وقد يشتغل - صلى الله عليه وسلم - في هذا الوقت بما فيه مصلحة للناس من قضاء حاجة أو نحو ذلك.</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 xml:space="preserve">قال أحمد في مسنده: حدثنا هاشم، حدثنا سليمان، عن ثابت، عن أنس قال: </w:t>
      </w:r>
      <w:r w:rsidRPr="00197BD9">
        <w:rPr>
          <w:rFonts w:ascii="Traditional Arabic" w:eastAsia="Calibri" w:hAnsi="Traditional Arabic" w:cs="Traditional Arabic"/>
          <w:b/>
          <w:bCs/>
          <w:sz w:val="32"/>
          <w:szCs w:val="32"/>
          <w:rtl/>
          <w:lang w:bidi="ar-EG"/>
        </w:rPr>
        <w:t>"كان النبي - صلى الله عليه وسلم - إذا صلى الغداة جاء خدم أهل المدينة بآنيتهم فيها الماء، فما يؤتى بإناء إلا غمس يده فيها، فربما جاءوه في الغداة الباردة فغمس يده فيها"</w:t>
      </w:r>
      <w:r w:rsidRPr="00197BD9">
        <w:rPr>
          <w:rFonts w:ascii="Traditional Arabic" w:eastAsia="Calibri" w:hAnsi="Traditional Arabic" w:cs="Traditional Arabic"/>
          <w:sz w:val="32"/>
          <w:szCs w:val="32"/>
          <w:vertAlign w:val="superscript"/>
          <w:rtl/>
          <w:lang w:bidi="ar-EG"/>
        </w:rPr>
        <w:footnoteReference w:id="2"/>
      </w:r>
      <w:r w:rsidRPr="00197BD9">
        <w:rPr>
          <w:rFonts w:ascii="Traditional Arabic" w:eastAsia="Calibri" w:hAnsi="Traditional Arabic" w:cs="Traditional Arabic"/>
          <w:sz w:val="32"/>
          <w:szCs w:val="32"/>
          <w:rtl/>
          <w:lang w:bidi="ar-EG"/>
        </w:rPr>
        <w:t xml:space="preserve"> بأبي هو وأمي!!.</w:t>
      </w:r>
    </w:p>
    <w:p w:rsidR="00080B30" w:rsidRDefault="00080B30" w:rsidP="00080B30">
      <w:pPr>
        <w:keepNext/>
        <w:keepLines/>
        <w:spacing w:before="120" w:after="120" w:line="276" w:lineRule="auto"/>
        <w:jc w:val="both"/>
        <w:outlineLvl w:val="1"/>
        <w:rPr>
          <w:rFonts w:ascii="Traditional Arabic" w:eastAsia="Times New Roman" w:hAnsi="Traditional Arabic" w:cs="Traditional Arabic"/>
          <w:b/>
          <w:bCs/>
          <w:sz w:val="32"/>
          <w:szCs w:val="32"/>
          <w:rtl/>
          <w:lang w:bidi="ar-EG"/>
        </w:rPr>
      </w:pPr>
      <w:bookmarkStart w:id="1" w:name="_Toc465126052"/>
    </w:p>
    <w:p w:rsidR="00197BD9" w:rsidRPr="00197BD9" w:rsidRDefault="00197BD9" w:rsidP="00080B30">
      <w:pPr>
        <w:keepNext/>
        <w:keepLines/>
        <w:spacing w:before="120" w:after="120" w:line="276" w:lineRule="auto"/>
        <w:jc w:val="both"/>
        <w:outlineLvl w:val="1"/>
        <w:rPr>
          <w:rFonts w:ascii="Traditional Arabic" w:eastAsia="Times New Roman" w:hAnsi="Traditional Arabic" w:cs="Traditional Arabic"/>
          <w:b/>
          <w:bCs/>
          <w:sz w:val="32"/>
          <w:szCs w:val="32"/>
          <w:rtl/>
          <w:lang w:bidi="ar-EG"/>
        </w:rPr>
      </w:pPr>
      <w:r w:rsidRPr="00197BD9">
        <w:rPr>
          <w:rFonts w:ascii="Traditional Arabic" w:eastAsia="Times New Roman" w:hAnsi="Traditional Arabic" w:cs="Traditional Arabic"/>
          <w:b/>
          <w:bCs/>
          <w:sz w:val="32"/>
          <w:szCs w:val="32"/>
          <w:rtl/>
          <w:lang w:bidi="ar-EG"/>
        </w:rPr>
        <w:t>لا يصح حديث مرفوع في فضل شهود صلاة الصبح ثم اتصاله بالذكر حتى تطلع الشمس ثم صلاة ركعتين</w:t>
      </w:r>
      <w:bookmarkEnd w:id="1"/>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وقد جاءت أخبار مرفوعة في فضل شهود صلاة الصبح، ثم اتصاله بالذكر حتى تطلع الشمس، ثم صلاة ركعتين، وذلك من حديث أنس وأبي أمامة وابن عمر - رضي الله عنهم -، وغيرها .. وكلها أخبار ضعاف لا تقوم بها حجة.</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lastRenderedPageBreak/>
        <w:t>والعمدة في ذلك - أعني الاشتغال بالذكر والجلوس في المصلى - على ما نقل من سنته الفعلية عليه الصلاة والسلام وسنة أصحابه، وما نقل عن السلف، وأما الفضائل في ذلك - فكما تقدم - ضعيفة.</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 xml:space="preserve">ومما يدل على ترك الصلاة في هذا الوقت منه عليه الصلاة والسلام، مع إباحة ذلك - ما أخرجه أحمد من طريق قتادة، عن القاسم الشيباني، عن زيد بن أرقم - رضي الله عنه - رحمه الله - أن نبي الله - صلى الله عليه وسلم - أتى على مسجد قباء - أو دخل مسجد قباء - بعدما أشرقت الشمس، فإذا هم يصلون فقال: </w:t>
      </w:r>
      <w:r w:rsidRPr="00197BD9">
        <w:rPr>
          <w:rFonts w:ascii="Traditional Arabic" w:eastAsia="Calibri" w:hAnsi="Traditional Arabic" w:cs="Traditional Arabic"/>
          <w:b/>
          <w:bCs/>
          <w:color w:val="0070C0"/>
          <w:sz w:val="32"/>
          <w:szCs w:val="32"/>
          <w:rtl/>
          <w:lang w:bidi="ar-EG"/>
        </w:rPr>
        <w:t>"إن صلاة الأوابين كانوا يصلونها إذا رمضت الفصال"</w:t>
      </w:r>
      <w:r w:rsidRPr="00197BD9">
        <w:rPr>
          <w:rFonts w:ascii="Traditional Arabic" w:eastAsia="Calibri" w:hAnsi="Traditional Arabic" w:cs="Traditional Arabic"/>
          <w:sz w:val="32"/>
          <w:szCs w:val="32"/>
          <w:vertAlign w:val="superscript"/>
          <w:rtl/>
          <w:lang w:bidi="ar-EG"/>
        </w:rPr>
        <w:footnoteReference w:id="3"/>
      </w:r>
      <w:r w:rsidRPr="00197BD9">
        <w:rPr>
          <w:rFonts w:ascii="Traditional Arabic" w:eastAsia="Calibri" w:hAnsi="Traditional Arabic" w:cs="Traditional Arabic"/>
          <w:sz w:val="32"/>
          <w:szCs w:val="32"/>
          <w:rtl/>
          <w:lang w:bidi="ar-EG"/>
        </w:rPr>
        <w:t>.</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وسيأتي ذكر هذا الخبر في صلاة الضحى إن شاء الله جل شأنه.</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ومما يدل على ما قررنا أيضا من الاشتغال بالذكر حسب دون الصلاة إذا طلعت الشمس: ما أخرجه مسلم من طريق عن كريب، عن ابن عباس - رضي الله عنهما -، عن جويرية - رضي الله عنها - أن النبي - صلى الله عليه وسلم - خرج من عندها بكرة حين صلى الصبح، وهي في مسجدها، ثم رجع بعد أن أضحى، وهي جالسة، فقال:</w:t>
      </w:r>
      <w:r w:rsidRPr="00197BD9">
        <w:rPr>
          <w:rFonts w:ascii="Traditional Arabic" w:eastAsia="Calibri" w:hAnsi="Traditional Arabic" w:cs="Traditional Arabic"/>
          <w:b/>
          <w:bCs/>
          <w:color w:val="0070C0"/>
          <w:sz w:val="32"/>
          <w:szCs w:val="32"/>
          <w:rtl/>
          <w:lang w:bidi="ar-EG"/>
        </w:rPr>
        <w:t xml:space="preserve">"ما زلت على الحال التي فارقتك عليها؟" </w:t>
      </w:r>
      <w:r w:rsidRPr="00197BD9">
        <w:rPr>
          <w:rFonts w:ascii="Traditional Arabic" w:eastAsia="Calibri" w:hAnsi="Traditional Arabic" w:cs="Traditional Arabic"/>
          <w:sz w:val="32"/>
          <w:szCs w:val="32"/>
          <w:rtl/>
          <w:lang w:bidi="ar-EG"/>
        </w:rPr>
        <w:t xml:space="preserve">قالت: نعم، قال النبي - صلى الله عليه وسلم -: </w:t>
      </w:r>
      <w:r w:rsidRPr="00197BD9">
        <w:rPr>
          <w:rFonts w:ascii="Traditional Arabic" w:eastAsia="Calibri" w:hAnsi="Traditional Arabic" w:cs="Traditional Arabic"/>
          <w:b/>
          <w:bCs/>
          <w:color w:val="0070C0"/>
          <w:sz w:val="32"/>
          <w:szCs w:val="32"/>
          <w:rtl/>
          <w:lang w:bidi="ar-EG"/>
        </w:rPr>
        <w:t>«لقد قلت بعدك أربع كلمات، ثلاث مرات، لو وزنت بما قلت منذ اليوم لوزنتهن: سبحان الله وبحمده، عدد خلقه ورضا نفسه وزنة عرشه ومداد كلماته "</w:t>
      </w:r>
      <w:r w:rsidRPr="00197BD9">
        <w:rPr>
          <w:rFonts w:ascii="Traditional Arabic" w:eastAsia="Calibri" w:hAnsi="Traditional Arabic" w:cs="Traditional Arabic"/>
          <w:sz w:val="32"/>
          <w:szCs w:val="32"/>
          <w:vertAlign w:val="superscript"/>
          <w:rtl/>
          <w:lang w:bidi="ar-EG"/>
        </w:rPr>
        <w:footnoteReference w:id="4"/>
      </w:r>
      <w:r w:rsidRPr="00197BD9">
        <w:rPr>
          <w:rFonts w:ascii="Traditional Arabic" w:eastAsia="Calibri" w:hAnsi="Traditional Arabic" w:cs="Traditional Arabic"/>
          <w:sz w:val="32"/>
          <w:szCs w:val="32"/>
          <w:rtl/>
          <w:lang w:bidi="ar-EG"/>
        </w:rPr>
        <w:t>.</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ولم يأمرها - صلى الله عليه وسلم - أن تصلي ركعتين أو يرشدها إلى ذلك، مع تيسره وسهولته، ولم يكن ذلك مشهورا عندهم، والأمر في هذا ظاهر بحمد الله.</w:t>
      </w:r>
    </w:p>
    <w:p w:rsidR="00197BD9" w:rsidRPr="00197BD9" w:rsidRDefault="00197BD9" w:rsidP="00080B30">
      <w:pPr>
        <w:spacing w:before="120" w:after="120" w:line="276" w:lineRule="auto"/>
        <w:jc w:val="both"/>
        <w:rPr>
          <w:rFonts w:ascii="Traditional Arabic" w:eastAsia="Calibri" w:hAnsi="Traditional Arabic" w:cs="Traditional Arabic"/>
          <w:sz w:val="32"/>
          <w:szCs w:val="32"/>
          <w:rtl/>
          <w:lang w:bidi="ar-EG"/>
        </w:rPr>
      </w:pPr>
      <w:r w:rsidRPr="00197BD9">
        <w:rPr>
          <w:rFonts w:ascii="Traditional Arabic" w:eastAsia="Calibri" w:hAnsi="Traditional Arabic" w:cs="Traditional Arabic"/>
          <w:sz w:val="32"/>
          <w:szCs w:val="32"/>
          <w:rtl/>
          <w:lang w:bidi="ar-EG"/>
        </w:rPr>
        <w:t xml:space="preserve">وتقدم ما رواه ابن أبي شيبة: حدثنا وكيع، عن سفيان، عن منصور، عن مجاهد: </w:t>
      </w:r>
      <w:r w:rsidRPr="00197BD9">
        <w:rPr>
          <w:rFonts w:ascii="Traditional Arabic" w:eastAsia="Calibri" w:hAnsi="Traditional Arabic" w:cs="Traditional Arabic"/>
          <w:b/>
          <w:bCs/>
          <w:sz w:val="32"/>
          <w:szCs w:val="32"/>
          <w:rtl/>
          <w:lang w:bidi="ar-EG"/>
        </w:rPr>
        <w:t>"أن عائشة كانت إذا طلعت الشمس نامت نومة الضحى"</w:t>
      </w:r>
      <w:r w:rsidRPr="00197BD9">
        <w:rPr>
          <w:rFonts w:ascii="Traditional Arabic" w:eastAsia="Calibri" w:hAnsi="Traditional Arabic" w:cs="Traditional Arabic"/>
          <w:sz w:val="32"/>
          <w:szCs w:val="32"/>
          <w:vertAlign w:val="superscript"/>
          <w:rtl/>
          <w:lang w:bidi="ar-EG"/>
        </w:rPr>
        <w:footnoteReference w:id="5"/>
      </w:r>
      <w:r w:rsidRPr="00197BD9">
        <w:rPr>
          <w:rFonts w:ascii="Traditional Arabic" w:eastAsia="Calibri" w:hAnsi="Traditional Arabic" w:cs="Traditional Arabic"/>
          <w:sz w:val="32"/>
          <w:szCs w:val="32"/>
          <w:rtl/>
          <w:lang w:bidi="ar-EG"/>
        </w:rPr>
        <w:t>.</w:t>
      </w:r>
    </w:p>
    <w:p w:rsidR="00136B00" w:rsidRPr="00080B30" w:rsidRDefault="00197BD9" w:rsidP="00080B30">
      <w:pPr>
        <w:spacing w:before="120" w:after="120" w:line="276" w:lineRule="auto"/>
        <w:jc w:val="both"/>
        <w:rPr>
          <w:rFonts w:ascii="Traditional Arabic" w:eastAsia="Calibri" w:hAnsi="Traditional Arabic" w:cs="Traditional Arabic"/>
          <w:sz w:val="32"/>
          <w:szCs w:val="32"/>
          <w:lang w:bidi="ar-EG"/>
        </w:rPr>
      </w:pPr>
      <w:r w:rsidRPr="00197BD9">
        <w:rPr>
          <w:rFonts w:ascii="Traditional Arabic" w:eastAsia="Calibri" w:hAnsi="Traditional Arabic" w:cs="Traditional Arabic"/>
          <w:sz w:val="32"/>
          <w:szCs w:val="32"/>
          <w:rtl/>
          <w:lang w:bidi="ar-EG"/>
        </w:rPr>
        <w:t>فأين أهل بيته عن هذا الفضل لهاتين الركعتين بعد طلوع الشمس؟</w:t>
      </w:r>
    </w:p>
    <w:sectPr w:rsidR="00136B00" w:rsidRPr="00080B30" w:rsidSect="00080B30">
      <w:headerReference w:type="default" r:id="rId6"/>
      <w:pgSz w:w="11906" w:h="16838"/>
      <w:pgMar w:top="241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E5" w:rsidRDefault="00E926E5" w:rsidP="00197BD9">
      <w:pPr>
        <w:spacing w:after="0" w:line="240" w:lineRule="auto"/>
      </w:pPr>
      <w:r>
        <w:separator/>
      </w:r>
    </w:p>
  </w:endnote>
  <w:endnote w:type="continuationSeparator" w:id="0">
    <w:p w:rsidR="00E926E5" w:rsidRDefault="00E926E5" w:rsidP="0019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E5" w:rsidRDefault="00E926E5" w:rsidP="00197BD9">
      <w:pPr>
        <w:spacing w:after="0" w:line="240" w:lineRule="auto"/>
      </w:pPr>
      <w:r>
        <w:separator/>
      </w:r>
    </w:p>
  </w:footnote>
  <w:footnote w:type="continuationSeparator" w:id="0">
    <w:p w:rsidR="00E926E5" w:rsidRDefault="00E926E5" w:rsidP="00197BD9">
      <w:pPr>
        <w:spacing w:after="0" w:line="240" w:lineRule="auto"/>
      </w:pPr>
      <w:r>
        <w:continuationSeparator/>
      </w:r>
    </w:p>
  </w:footnote>
  <w:footnote w:id="1">
    <w:p w:rsidR="00197BD9" w:rsidRPr="00474D7D" w:rsidRDefault="00197BD9" w:rsidP="00197BD9">
      <w:pPr>
        <w:pStyle w:val="FootnoteText1"/>
        <w:jc w:val="both"/>
        <w:rPr>
          <w:rFonts w:ascii="Traditional Arabic" w:hAnsi="Traditional Arabic" w:cs="Traditional Arabic"/>
          <w:sz w:val="28"/>
          <w:szCs w:val="28"/>
          <w:rtl/>
          <w:lang w:bidi="ar-EG"/>
        </w:rPr>
      </w:pPr>
      <w:r w:rsidRPr="00474D7D">
        <w:rPr>
          <w:rStyle w:val="FootnoteReference"/>
          <w:rFonts w:ascii="Traditional Arabic" w:hAnsi="Traditional Arabic" w:cs="Traditional Arabic"/>
          <w:sz w:val="28"/>
          <w:szCs w:val="28"/>
        </w:rPr>
        <w:footnoteRef/>
      </w:r>
      <w:r w:rsidRPr="00474D7D">
        <w:rPr>
          <w:rFonts w:ascii="Traditional Arabic" w:hAnsi="Traditional Arabic" w:cs="Traditional Arabic"/>
          <w:sz w:val="28"/>
          <w:szCs w:val="28"/>
          <w:rtl/>
        </w:rPr>
        <w:t xml:space="preserve"> </w:t>
      </w:r>
      <w:r w:rsidRPr="00474D7D">
        <w:rPr>
          <w:rFonts w:ascii="Traditional Arabic" w:hAnsi="Traditional Arabic" w:cs="Traditional Arabic"/>
          <w:sz w:val="28"/>
          <w:szCs w:val="28"/>
          <w:rtl/>
          <w:lang w:bidi="ar-EG"/>
        </w:rPr>
        <w:t>صحيح البخاري (2834)،وأعاده بسنده ومتنه سواء(4099)، في باب غزوة الخندق، وهي الأحزاب، وقلما يعيد البخاري الحديث بالسند نفسه، ولا يعيد الحديث غالبا إلا بإيراده من طريق آخر في شيوخه أو من فوقهم.</w:t>
      </w:r>
    </w:p>
  </w:footnote>
  <w:footnote w:id="2">
    <w:p w:rsidR="00197BD9" w:rsidRPr="00474D7D" w:rsidRDefault="00197BD9" w:rsidP="00197BD9">
      <w:pPr>
        <w:pStyle w:val="FootnoteText1"/>
        <w:jc w:val="both"/>
        <w:rPr>
          <w:rFonts w:ascii="Traditional Arabic" w:hAnsi="Traditional Arabic" w:cs="Traditional Arabic"/>
          <w:sz w:val="28"/>
          <w:szCs w:val="28"/>
          <w:rtl/>
          <w:lang w:bidi="ar-EG"/>
        </w:rPr>
      </w:pPr>
      <w:r w:rsidRPr="00474D7D">
        <w:rPr>
          <w:rStyle w:val="FootnoteReference"/>
          <w:rFonts w:ascii="Traditional Arabic" w:hAnsi="Traditional Arabic" w:cs="Traditional Arabic"/>
          <w:sz w:val="28"/>
          <w:szCs w:val="28"/>
        </w:rPr>
        <w:footnoteRef/>
      </w:r>
      <w:r w:rsidRPr="00474D7D">
        <w:rPr>
          <w:rFonts w:ascii="Traditional Arabic" w:hAnsi="Traditional Arabic" w:cs="Traditional Arabic"/>
          <w:sz w:val="28"/>
          <w:szCs w:val="28"/>
          <w:rtl/>
        </w:rPr>
        <w:t xml:space="preserve"> </w:t>
      </w:r>
      <w:r w:rsidRPr="00474D7D">
        <w:rPr>
          <w:rFonts w:ascii="Traditional Arabic" w:hAnsi="Traditional Arabic" w:cs="Traditional Arabic"/>
          <w:sz w:val="28"/>
          <w:szCs w:val="28"/>
          <w:rtl/>
          <w:lang w:bidi="ar-EG"/>
        </w:rPr>
        <w:t>مسند أحمد(12401).</w:t>
      </w:r>
    </w:p>
  </w:footnote>
  <w:footnote w:id="3">
    <w:p w:rsidR="00197BD9" w:rsidRPr="00474D7D" w:rsidRDefault="00197BD9" w:rsidP="00197BD9">
      <w:pPr>
        <w:pStyle w:val="FootnoteText1"/>
        <w:jc w:val="both"/>
        <w:rPr>
          <w:rFonts w:ascii="Traditional Arabic" w:hAnsi="Traditional Arabic" w:cs="Traditional Arabic"/>
          <w:sz w:val="28"/>
          <w:szCs w:val="28"/>
          <w:lang w:bidi="ar-EG"/>
        </w:rPr>
      </w:pPr>
      <w:r w:rsidRPr="00474D7D">
        <w:rPr>
          <w:rStyle w:val="FootnoteReference"/>
          <w:rFonts w:ascii="Traditional Arabic" w:hAnsi="Traditional Arabic" w:cs="Traditional Arabic"/>
          <w:sz w:val="28"/>
          <w:szCs w:val="28"/>
        </w:rPr>
        <w:footnoteRef/>
      </w:r>
      <w:r w:rsidRPr="00474D7D">
        <w:rPr>
          <w:rFonts w:ascii="Traditional Arabic" w:hAnsi="Traditional Arabic" w:cs="Traditional Arabic"/>
          <w:sz w:val="28"/>
          <w:szCs w:val="28"/>
          <w:rtl/>
        </w:rPr>
        <w:t xml:space="preserve"> </w:t>
      </w:r>
      <w:r w:rsidRPr="00474D7D">
        <w:rPr>
          <w:rFonts w:ascii="Traditional Arabic" w:hAnsi="Traditional Arabic" w:cs="Traditional Arabic"/>
          <w:sz w:val="28"/>
          <w:szCs w:val="28"/>
          <w:rtl/>
          <w:lang w:bidi="ar-EG"/>
        </w:rPr>
        <w:t>مسند أحمد(19347).</w:t>
      </w:r>
    </w:p>
  </w:footnote>
  <w:footnote w:id="4">
    <w:p w:rsidR="00197BD9" w:rsidRPr="00474D7D" w:rsidRDefault="00197BD9" w:rsidP="00197BD9">
      <w:pPr>
        <w:pStyle w:val="FootnoteText1"/>
        <w:jc w:val="both"/>
        <w:rPr>
          <w:rFonts w:ascii="Traditional Arabic" w:hAnsi="Traditional Arabic" w:cs="Traditional Arabic"/>
          <w:sz w:val="28"/>
          <w:szCs w:val="28"/>
          <w:lang w:bidi="ar-EG"/>
        </w:rPr>
      </w:pPr>
      <w:r w:rsidRPr="00474D7D">
        <w:rPr>
          <w:rStyle w:val="FootnoteReference"/>
          <w:rFonts w:ascii="Traditional Arabic" w:hAnsi="Traditional Arabic" w:cs="Traditional Arabic"/>
          <w:sz w:val="28"/>
          <w:szCs w:val="28"/>
        </w:rPr>
        <w:footnoteRef/>
      </w:r>
      <w:r w:rsidRPr="00474D7D">
        <w:rPr>
          <w:rFonts w:ascii="Traditional Arabic" w:hAnsi="Traditional Arabic" w:cs="Traditional Arabic"/>
          <w:sz w:val="28"/>
          <w:szCs w:val="28"/>
          <w:rtl/>
        </w:rPr>
        <w:t xml:space="preserve"> </w:t>
      </w:r>
      <w:r w:rsidRPr="00474D7D">
        <w:rPr>
          <w:rFonts w:ascii="Traditional Arabic" w:hAnsi="Traditional Arabic" w:cs="Traditional Arabic"/>
          <w:sz w:val="28"/>
          <w:szCs w:val="28"/>
          <w:rtl/>
          <w:lang w:bidi="ar-EG"/>
        </w:rPr>
        <w:t>صحيح مسلم(2762).</w:t>
      </w:r>
    </w:p>
  </w:footnote>
  <w:footnote w:id="5">
    <w:p w:rsidR="00197BD9" w:rsidRPr="00474D7D" w:rsidRDefault="00197BD9" w:rsidP="00197BD9">
      <w:pPr>
        <w:pStyle w:val="FootnoteText1"/>
        <w:jc w:val="both"/>
        <w:rPr>
          <w:rFonts w:ascii="Traditional Arabic" w:hAnsi="Traditional Arabic" w:cs="Traditional Arabic"/>
          <w:sz w:val="28"/>
          <w:szCs w:val="28"/>
          <w:rtl/>
          <w:lang w:bidi="ar-EG"/>
        </w:rPr>
      </w:pPr>
      <w:r w:rsidRPr="00474D7D">
        <w:rPr>
          <w:rStyle w:val="FootnoteReference"/>
          <w:rFonts w:ascii="Traditional Arabic" w:hAnsi="Traditional Arabic" w:cs="Traditional Arabic"/>
          <w:sz w:val="28"/>
          <w:szCs w:val="28"/>
        </w:rPr>
        <w:footnoteRef/>
      </w:r>
      <w:r w:rsidRPr="00474D7D">
        <w:rPr>
          <w:rFonts w:ascii="Traditional Arabic" w:hAnsi="Traditional Arabic" w:cs="Traditional Arabic"/>
          <w:sz w:val="28"/>
          <w:szCs w:val="28"/>
          <w:rtl/>
        </w:rPr>
        <w:t xml:space="preserve"> </w:t>
      </w:r>
      <w:r w:rsidRPr="00474D7D">
        <w:rPr>
          <w:rFonts w:ascii="Traditional Arabic" w:hAnsi="Traditional Arabic" w:cs="Traditional Arabic"/>
          <w:sz w:val="28"/>
          <w:szCs w:val="28"/>
          <w:rtl/>
          <w:lang w:bidi="ar-EG"/>
        </w:rPr>
        <w:t>مصنف ابن أبي شيبة(25451).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30" w:rsidRDefault="00080B30">
    <w:pPr>
      <w:pStyle w:val="Header"/>
      <w:rPr>
        <w:rFonts w:hint="cs"/>
      </w:rPr>
    </w:pPr>
    <w:r w:rsidRPr="00080B30">
      <w:rPr>
        <w:rFonts w:cs="Arial"/>
        <w:noProof/>
        <w:rtl/>
      </w:rPr>
      <w:drawing>
        <wp:anchor distT="0" distB="0" distL="114300" distR="114300" simplePos="0" relativeHeight="251658240" behindDoc="1" locked="0" layoutInCell="1" allowOverlap="1">
          <wp:simplePos x="0" y="0"/>
          <wp:positionH relativeFrom="column">
            <wp:posOffset>-790575</wp:posOffset>
          </wp:positionH>
          <wp:positionV relativeFrom="paragraph">
            <wp:posOffset>-125730</wp:posOffset>
          </wp:positionV>
          <wp:extent cx="1695450" cy="1190625"/>
          <wp:effectExtent l="0" t="0" r="0" b="0"/>
          <wp:wrapNone/>
          <wp:docPr id="10" name="Picture 10" descr="D:\work\محمد المقدي\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D9"/>
    <w:rsid w:val="00080B30"/>
    <w:rsid w:val="00136B00"/>
    <w:rsid w:val="00197BD9"/>
    <w:rsid w:val="00745761"/>
    <w:rsid w:val="00783229"/>
    <w:rsid w:val="00C760A9"/>
    <w:rsid w:val="00E92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65F5"/>
  <w15:chartTrackingRefBased/>
  <w15:docId w15:val="{3FB99648-82EA-47A6-9E6F-22BEF8EC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97BD9"/>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197BD9"/>
    <w:rPr>
      <w:sz w:val="20"/>
      <w:szCs w:val="20"/>
    </w:rPr>
  </w:style>
  <w:style w:type="character" w:styleId="FootnoteReference">
    <w:name w:val="footnote reference"/>
    <w:basedOn w:val="DefaultParagraphFont"/>
    <w:uiPriority w:val="99"/>
    <w:semiHidden/>
    <w:unhideWhenUsed/>
    <w:rsid w:val="00197BD9"/>
    <w:rPr>
      <w:vertAlign w:val="superscript"/>
    </w:rPr>
  </w:style>
  <w:style w:type="character" w:styleId="CommentReference">
    <w:name w:val="annotation reference"/>
    <w:basedOn w:val="DefaultParagraphFont"/>
    <w:uiPriority w:val="99"/>
    <w:semiHidden/>
    <w:unhideWhenUsed/>
    <w:rsid w:val="00197BD9"/>
    <w:rPr>
      <w:sz w:val="16"/>
      <w:szCs w:val="16"/>
    </w:rPr>
  </w:style>
  <w:style w:type="paragraph" w:customStyle="1" w:styleId="CommentText1">
    <w:name w:val="Comment Text1"/>
    <w:basedOn w:val="Normal"/>
    <w:next w:val="CommentText"/>
    <w:link w:val="CommentTextChar"/>
    <w:uiPriority w:val="99"/>
    <w:semiHidden/>
    <w:unhideWhenUsed/>
    <w:rsid w:val="00197BD9"/>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197BD9"/>
    <w:rPr>
      <w:sz w:val="20"/>
      <w:szCs w:val="20"/>
    </w:rPr>
  </w:style>
  <w:style w:type="paragraph" w:styleId="FootnoteText">
    <w:name w:val="footnote text"/>
    <w:basedOn w:val="Normal"/>
    <w:link w:val="FootnoteTextChar1"/>
    <w:uiPriority w:val="99"/>
    <w:semiHidden/>
    <w:unhideWhenUsed/>
    <w:rsid w:val="00197BD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97BD9"/>
    <w:rPr>
      <w:sz w:val="20"/>
      <w:szCs w:val="20"/>
    </w:rPr>
  </w:style>
  <w:style w:type="paragraph" w:styleId="CommentText">
    <w:name w:val="annotation text"/>
    <w:basedOn w:val="Normal"/>
    <w:link w:val="CommentTextChar1"/>
    <w:uiPriority w:val="99"/>
    <w:semiHidden/>
    <w:unhideWhenUsed/>
    <w:rsid w:val="00197BD9"/>
    <w:pPr>
      <w:spacing w:line="240" w:lineRule="auto"/>
    </w:pPr>
    <w:rPr>
      <w:sz w:val="20"/>
      <w:szCs w:val="20"/>
    </w:rPr>
  </w:style>
  <w:style w:type="character" w:customStyle="1" w:styleId="CommentTextChar1">
    <w:name w:val="Comment Text Char1"/>
    <w:basedOn w:val="DefaultParagraphFont"/>
    <w:link w:val="CommentText"/>
    <w:uiPriority w:val="99"/>
    <w:semiHidden/>
    <w:rsid w:val="00197BD9"/>
    <w:rPr>
      <w:sz w:val="20"/>
      <w:szCs w:val="20"/>
    </w:rPr>
  </w:style>
  <w:style w:type="paragraph" w:styleId="BalloonText">
    <w:name w:val="Balloon Text"/>
    <w:basedOn w:val="Normal"/>
    <w:link w:val="BalloonTextChar"/>
    <w:uiPriority w:val="99"/>
    <w:semiHidden/>
    <w:unhideWhenUsed/>
    <w:rsid w:val="00197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D9"/>
    <w:rPr>
      <w:rFonts w:ascii="Segoe UI" w:hAnsi="Segoe UI" w:cs="Segoe UI"/>
      <w:sz w:val="18"/>
      <w:szCs w:val="18"/>
    </w:rPr>
  </w:style>
  <w:style w:type="paragraph" w:styleId="Header">
    <w:name w:val="header"/>
    <w:basedOn w:val="Normal"/>
    <w:link w:val="HeaderChar"/>
    <w:uiPriority w:val="99"/>
    <w:unhideWhenUsed/>
    <w:rsid w:val="00080B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B30"/>
  </w:style>
  <w:style w:type="paragraph" w:styleId="Footer">
    <w:name w:val="footer"/>
    <w:basedOn w:val="Normal"/>
    <w:link w:val="FooterChar"/>
    <w:uiPriority w:val="99"/>
    <w:unhideWhenUsed/>
    <w:rsid w:val="00080B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2018-09-06T06:54:00Z</cp:lastPrinted>
  <dcterms:created xsi:type="dcterms:W3CDTF">2018-09-06T06:33:00Z</dcterms:created>
  <dcterms:modified xsi:type="dcterms:W3CDTF">2018-09-06T07:18:00Z</dcterms:modified>
</cp:coreProperties>
</file>