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7B" w:rsidRPr="009C0A93" w:rsidRDefault="00D1397B" w:rsidP="00D1397B">
      <w:pPr>
        <w:spacing w:before="20" w:after="20" w:line="240" w:lineRule="auto"/>
        <w:ind w:firstLine="26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9C0A9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الاختلاف حول التمائم التي من القرآن أو الأذكار</w:t>
      </w:r>
    </w:p>
    <w:p w:rsidR="00110ECB" w:rsidRPr="009C0A93" w:rsidRDefault="00110ECB" w:rsidP="00096199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9C0A9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اختلاف أهل العلم في تعليق التمائم إذا كانت من القرآن أو الأذكار المشروعة.</w:t>
      </w:r>
    </w:p>
    <w:p w:rsidR="00110ECB" w:rsidRPr="009C0A93" w:rsidRDefault="00110ECB" w:rsidP="00847B4D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9C0A93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110ECB" w:rsidRPr="009C0A93" w:rsidRDefault="00110ECB" w:rsidP="00847B4D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9C0A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القول الأول:</w:t>
      </w:r>
    </w:p>
    <w:p w:rsidR="00110ECB" w:rsidRPr="009C0A93" w:rsidRDefault="00110ECB" w:rsidP="009C0A93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جواز تعليق التمائم إذا كانت من القرآن أو الأذكار المشروعة، وهو قول عبد الله بن عمرو بن العاص </w:t>
      </w:r>
      <w:r w:rsidR="009C0A93">
        <w:rPr>
          <w:rFonts w:ascii="Traditional Arabic" w:hAnsi="Traditional Arabic" w:cs="Traditional Arabic" w:hint="cs"/>
          <w:sz w:val="32"/>
          <w:szCs w:val="32"/>
          <w:rtl/>
        </w:rPr>
        <w:t>رضي الله عنه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، وظاهر ما ر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عائشة </w:t>
      </w:r>
      <w:r w:rsidR="00847B4D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عنها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وبه قال سعيد بن المسيب وعطاء وأبو جعفر الباقر ومالك ورواية عن أحمد، وهو اختيار </w:t>
      </w:r>
      <w:proofErr w:type="spellStart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البغوي</w:t>
      </w:r>
      <w:proofErr w:type="spellEnd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وابن عبد البر والبيهقي، لكن قي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د ابن عبد البر جوازه بما كان بعد نزول البلاء، ون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قل ذلك عن 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إ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سحاق بن </w:t>
      </w:r>
      <w:proofErr w:type="spellStart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راهوية</w:t>
      </w:r>
      <w:proofErr w:type="spellEnd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وهو الظاهر من قول عائشة 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عنها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واختاره الطحاوي في شرح معاني </w:t>
      </w:r>
      <w:proofErr w:type="gramStart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الآثار</w:t>
      </w:r>
      <w:r w:rsidR="00AC59EF"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Pr="009C0A9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AC59EF"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110ECB" w:rsidRPr="009C0A93" w:rsidRDefault="00110ECB" w:rsidP="005D41BE">
      <w:pPr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</w:t>
      </w:r>
      <w:proofErr w:type="spellStart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البغوي</w:t>
      </w:r>
      <w:proofErr w:type="spellEnd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شرح الس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ة</w:t>
      </w:r>
      <w:proofErr w:type="gramStart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لا</w:t>
      </w:r>
      <w:proofErr w:type="gramEnd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التمائم ما ي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كتب من القرآن، وس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ئل سعيد بن المسيب عن الصحف الصغار ي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كتب فيه من القرآن، في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عل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ق على النساء والصبيان</w:t>
      </w:r>
      <w:r w:rsidR="00C06BC1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فقال: لا بأس بذلك إذا ج</w:t>
      </w:r>
      <w:r w:rsidR="00AC59EF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عل في كير من ورق أو حديد أو يخرز عليه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AC59EF"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9C0A9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AC59EF"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110ECB" w:rsidRPr="009C0A93" w:rsidRDefault="00110ECB" w:rsidP="00C06BC1">
      <w:pPr>
        <w:spacing w:before="20" w:after="20" w:line="240" w:lineRule="auto"/>
        <w:ind w:firstLine="116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9C0A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حجة أصحاب هذا القول ما يلي:</w:t>
      </w:r>
    </w:p>
    <w:p w:rsidR="00C06BC1" w:rsidRPr="009C0A93" w:rsidRDefault="00C06BC1" w:rsidP="00D65556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1- ع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موم الأدلة على أن القرآن شفاء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كقوله تعالى: </w:t>
      </w:r>
      <w:r w:rsidR="00D65556" w:rsidRPr="00D65556">
        <w:rPr>
          <w:rFonts w:ascii="Traditional Arabic" w:hAnsi="Traditional Arabic" w:cs="Traditional Arabic"/>
          <w:sz w:val="32"/>
          <w:szCs w:val="32"/>
          <w:rtl/>
          <w:lang w:bidi="ar-EG"/>
        </w:rPr>
        <w:t>{</w:t>
      </w:r>
      <w:r w:rsidR="00D65556" w:rsidRPr="00D655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وَنُنَزِّلُ</w:t>
      </w:r>
      <w:r w:rsidR="00D65556" w:rsidRPr="00D655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D65556" w:rsidRPr="00D655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مِنَ</w:t>
      </w:r>
      <w:r w:rsidR="00D65556" w:rsidRPr="00D655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D65556" w:rsidRPr="00D655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الْقُرْآنِ</w:t>
      </w:r>
      <w:r w:rsidR="00D65556" w:rsidRPr="00D655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D65556" w:rsidRPr="00D655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مَا</w:t>
      </w:r>
      <w:r w:rsidR="00D65556" w:rsidRPr="00D655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D65556" w:rsidRPr="00D655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هُوَ</w:t>
      </w:r>
      <w:r w:rsidR="00D65556" w:rsidRPr="00D655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D65556" w:rsidRPr="00D655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شِفَاءٌ</w:t>
      </w:r>
      <w:r w:rsidR="00D65556" w:rsidRPr="00D655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D65556" w:rsidRPr="00D655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وَرَحْمَةٌ</w:t>
      </w:r>
      <w:r w:rsidR="00D65556" w:rsidRPr="00D655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D65556" w:rsidRPr="00D655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لِلْمُؤْمِنِينَ</w:t>
      </w:r>
      <w:r w:rsidR="00D65556" w:rsidRPr="00D65556">
        <w:rPr>
          <w:rFonts w:ascii="Traditional Arabic" w:hAnsi="Traditional Arabic" w:cs="Traditional Arabic"/>
          <w:sz w:val="32"/>
          <w:szCs w:val="32"/>
          <w:rtl/>
          <w:lang w:bidi="ar-EG"/>
        </w:rPr>
        <w:t>} [</w:t>
      </w:r>
      <w:r w:rsidR="00D65556" w:rsidRPr="00D655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الإسراء</w:t>
      </w:r>
      <w:r w:rsidR="00D65556" w:rsidRPr="00D65556">
        <w:rPr>
          <w:rFonts w:ascii="Traditional Arabic" w:hAnsi="Traditional Arabic" w:cs="Traditional Arabic"/>
          <w:sz w:val="32"/>
          <w:szCs w:val="32"/>
          <w:rtl/>
          <w:lang w:bidi="ar-EG"/>
        </w:rPr>
        <w:t>: 82]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  <w:bookmarkStart w:id="0" w:name="_GoBack"/>
      <w:bookmarkEnd w:id="0"/>
    </w:p>
    <w:p w:rsidR="00C06BC1" w:rsidRPr="009C0A93" w:rsidRDefault="00C06BC1" w:rsidP="005D41BE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proofErr w:type="gramStart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2- 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قول</w:t>
      </w:r>
      <w:proofErr w:type="gramEnd"/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عائشة 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عنها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ليست التميمة ما تعلق به بعد البلاء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إنما التميمة ما تعلق به قبل البلاء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110ECB" w:rsidRPr="009C0A9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C06BC1" w:rsidRPr="009C0A93" w:rsidRDefault="00C06BC1" w:rsidP="009C0A93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proofErr w:type="gramStart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3- 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ما</w:t>
      </w:r>
      <w:proofErr w:type="gramEnd"/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ورد عن عبد الله بن عمرو بن العاص </w:t>
      </w:r>
      <w:r w:rsidR="009C0A9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أنه كان يكتب دعاء الفزع ويعلقه على من لم يبلغ من أولاده، وهو: 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أعوذ بكلمات الله التامات من غضبه ومن عقابه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ومن شر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عباده ومن همزات الشياطين وأن يحضرون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110ECB" w:rsidRPr="009C0A9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110ECB" w:rsidRPr="009C0A93" w:rsidRDefault="00C06BC1" w:rsidP="00C06BC1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proofErr w:type="gramStart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 xml:space="preserve">4- 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حمل</w:t>
      </w:r>
      <w:proofErr w:type="gramEnd"/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الأحاديث الواردة في النهي عن تعليق التمائم على التمائم </w:t>
      </w:r>
      <w:proofErr w:type="spellStart"/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الشركية</w:t>
      </w:r>
      <w:proofErr w:type="spellEnd"/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، أما ما كان من القرآن فلا يدخل في ذلك.</w:t>
      </w:r>
    </w:p>
    <w:p w:rsidR="00110ECB" w:rsidRPr="009C0A93" w:rsidRDefault="00C06BC1" w:rsidP="00C06BC1">
      <w:pPr>
        <w:spacing w:before="20" w:after="20" w:line="240" w:lineRule="auto"/>
        <w:ind w:firstLine="116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9C0A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القول الثاني:</w:t>
      </w:r>
    </w:p>
    <w:p w:rsidR="00110ECB" w:rsidRPr="009C0A93" w:rsidRDefault="00110ECB" w:rsidP="009C0A93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عدم الجواز</w:t>
      </w:r>
      <w:r w:rsidR="00C06BC1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وهو قول ابن مسعود وابن عباس </w:t>
      </w:r>
      <w:r w:rsidR="00C06BC1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عنهما</w:t>
      </w:r>
      <w:r w:rsidR="00C06BC1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وظاهر قول حذيفة وعقبة </w:t>
      </w:r>
      <w:r w:rsidR="00C06BC1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بن عامر وابن ح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كيم </w:t>
      </w:r>
      <w:r w:rsidR="009C0A9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، وبه قال جماعة من التابعين، منهم أصحاب ابن مسعود، وهو رواية عن أحمد اختارها كثير من أصحابه.</w:t>
      </w:r>
    </w:p>
    <w:p w:rsidR="00110ECB" w:rsidRPr="009C0A93" w:rsidRDefault="00110ECB" w:rsidP="009C0A93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ابن مسعود </w:t>
      </w:r>
      <w:r w:rsidR="009C0A9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لما رأى في عنق امرأته خيطًا فقطعه </w:t>
      </w:r>
      <w:r w:rsidR="00C06BC1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ـ</w:t>
      </w:r>
      <w:proofErr w:type="gramStart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إن</w:t>
      </w:r>
      <w:proofErr w:type="gramEnd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آل عبد الله لأغنياء عن الشرك، سمعت رسول الله </w:t>
      </w:r>
      <w:r w:rsidR="009C0A93">
        <w:rPr>
          <w:rFonts w:ascii="Traditional Arabic" w:hAnsi="Traditional Arabic" w:cs="Traditional Arabic" w:hint="cs"/>
          <w:sz w:val="32"/>
          <w:szCs w:val="32"/>
          <w:rtl/>
        </w:rPr>
        <w:t>صلى الله عليه وسلم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يقول: 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C0A9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إن الرقى والتمائم والتولة شرك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««</w:t>
      </w:r>
      <w:r w:rsidR="005D41BE"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C06BC1"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9C0A9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5"/>
      </w:r>
      <w:r w:rsidR="00C06BC1"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C06BC1" w:rsidRPr="009C0A93" w:rsidRDefault="00110ECB" w:rsidP="00C06BC1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9C0A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وحج</w:t>
      </w:r>
      <w:r w:rsidR="00C06BC1" w:rsidRPr="009C0A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ة</w:t>
      </w:r>
      <w:r w:rsidRPr="009C0A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أصحاب هذا القول:</w:t>
      </w:r>
    </w:p>
    <w:p w:rsidR="00110ECB" w:rsidRPr="009C0A93" w:rsidRDefault="00110ECB" w:rsidP="00C06BC1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عموم الأدلة الناهية عن تعليق التمائم، وتسميتها شركًا، ولم يأت</w:t>
      </w:r>
      <w:r w:rsidR="00C06BC1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يخصص شيئًا منها كما هو الحال في الرقى.</w:t>
      </w:r>
    </w:p>
    <w:p w:rsidR="00110ECB" w:rsidRPr="009C0A93" w:rsidRDefault="00110ECB" w:rsidP="009C0A93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ومما يبين ذلك ما رواه عبد الله بن مسعود </w:t>
      </w:r>
      <w:r w:rsidR="009C0A9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</w:t>
      </w:r>
      <w:proofErr w:type="gramStart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كان</w:t>
      </w:r>
      <w:proofErr w:type="gramEnd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نبي الله </w:t>
      </w:r>
      <w:r w:rsidR="009C0A9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يكره عشر خ</w:t>
      </w:r>
      <w:r w:rsidR="00D1397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لال: الصفرة </w:t>
      </w:r>
      <w:r w:rsidR="00C06BC1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ـ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يعني الخلوق</w:t>
      </w:r>
      <w:r w:rsidR="00C06BC1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وتغيير الشيب، وجر الإزار، </w:t>
      </w:r>
      <w:proofErr w:type="spellStart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والتختم</w:t>
      </w:r>
      <w:proofErr w:type="spellEnd"/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بالذهب، والتبرج بالزينة لغير محلها، والضرب بالكعاب، والرقى إلا بالمعوذات، وعقد التمائم، وعزل الماء لغير أو غير محله أو عن محله، وفساد الصبي غير محرمه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5D41BE"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C06BC1"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9C0A93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6"/>
      </w:r>
      <w:r w:rsidR="00C06BC1" w:rsidRPr="009C0A93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C06BC1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؛ 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فقد ذكر الرقى وخص</w:t>
      </w:r>
      <w:r w:rsidR="00C06BC1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منها، بينما لم يخص من التمائم شيئًا.</w:t>
      </w:r>
    </w:p>
    <w:p w:rsidR="00110ECB" w:rsidRPr="009C0A93" w:rsidRDefault="00110ECB" w:rsidP="00C06BC1">
      <w:pPr>
        <w:spacing w:before="20" w:after="20" w:line="240" w:lineRule="auto"/>
        <w:ind w:firstLine="26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9C0A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وبتأمل القولين فإن الراجح </w:t>
      </w:r>
      <w:r w:rsidR="00C06BC1" w:rsidRPr="009C0A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ـ</w:t>
      </w:r>
      <w:r w:rsidRPr="009C0A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والله أعلم </w:t>
      </w:r>
      <w:r w:rsidR="00C06BC1" w:rsidRPr="009C0A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ـ هو القول الثاني؛</w:t>
      </w:r>
      <w:r w:rsidRPr="009C0A9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وذلك لوجوه:</w:t>
      </w:r>
    </w:p>
    <w:p w:rsidR="00110ECB" w:rsidRPr="009C0A93" w:rsidRDefault="00C06BC1" w:rsidP="005D41BE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9C0A9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أولًا: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عموم الأدلة؛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فقد جاء 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عن 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النبي</w:t>
      </w:r>
      <w:r w:rsidR="009C0A93">
        <w:rPr>
          <w:rFonts w:ascii="Traditional Arabic" w:hAnsi="Traditional Arabic" w:cs="Traditional Arabic"/>
          <w:sz w:val="32"/>
          <w:szCs w:val="32"/>
          <w:lang w:bidi="ar-EG"/>
        </w:rPr>
        <w:t xml:space="preserve"> </w:t>
      </w:r>
      <w:r w:rsid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9C0A93">
        <w:rPr>
          <w:rFonts w:ascii="Traditional Arabic" w:hAnsi="Traditional Arabic" w:cs="Traditional Arabic"/>
          <w:sz w:val="32"/>
          <w:szCs w:val="32"/>
          <w:lang w:bidi="ar-EG"/>
        </w:rPr>
        <w:t xml:space="preserve"> 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في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تعليق التمائم كما في قوله </w:t>
      </w:r>
      <w:r w:rsid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proofErr w:type="gramStart"/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110ECB" w:rsidRPr="009C0A9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الرقى</w:t>
      </w:r>
      <w:proofErr w:type="gramEnd"/>
      <w:r w:rsidR="00110ECB" w:rsidRPr="009C0A93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والتمائم والتولة شرك</w:t>
      </w:r>
      <w:r w:rsidR="005D41BE" w:rsidRPr="009C0A93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، ولم يأت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يخصص تعليق ما كان من القرآن عن ذلك العموم، والأصل هو إبقاء النص على عمومه ما لم يأت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مخص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ص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له، ولو كان ذلك جائزًا لبي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نه النبي </w:t>
      </w:r>
      <w:r w:rsid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كما بي</w:t>
      </w:r>
      <w:r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ن ذلك في الرقى.</w:t>
      </w:r>
    </w:p>
    <w:p w:rsidR="00C06BC1" w:rsidRPr="009C0A93" w:rsidRDefault="00C06BC1" w:rsidP="00C06BC1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9C0A9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ثانيًا:</w:t>
      </w:r>
      <w:r w:rsidR="005D41BE" w:rsidRPr="009C0A9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="00D1397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سد الذريعة؛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وهو وجه مهم</w:t>
      </w:r>
      <w:r w:rsidR="00D1397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إذ قد تشتبه التميمة التي من القرآن بغيرها، فتنتشر التمائم </w:t>
      </w:r>
      <w:proofErr w:type="spellStart"/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الشركية</w:t>
      </w:r>
      <w:proofErr w:type="spellEnd"/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بسبب ذلك الاشتباه، لاسيما وأن التمائم في الغالب تكون كتابات ت</w:t>
      </w:r>
      <w:r w:rsidR="00D1397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طوى بما يحفظها فلا ت</w:t>
      </w:r>
      <w:r w:rsidR="00D1397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قرأ، وإنما ي</w:t>
      </w:r>
      <w:r w:rsidR="00D1397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قال لصاحبها هذه تميمة ك</w:t>
      </w:r>
      <w:r w:rsidR="00D1397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تب عليها كذا وكذا، وقد يكون في ذلك مدخل للمشعوذين.</w:t>
      </w:r>
    </w:p>
    <w:p w:rsidR="00ED5BCD" w:rsidRPr="009C0A93" w:rsidRDefault="00C06BC1" w:rsidP="00502E21">
      <w:pPr>
        <w:spacing w:before="20" w:after="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9C0A9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ثالثًا:</w:t>
      </w:r>
      <w:r w:rsidR="005D41BE" w:rsidRPr="009C0A9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القول بالجواز مدعاة إلى تساهل </w:t>
      </w:r>
      <w:r w:rsidR="00D1397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>الناس في الدخول بها إلى أي مكان؛</w:t>
      </w:r>
      <w:r w:rsidR="00110ECB" w:rsidRPr="009C0A9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فيكون في ذلك امتهان للمحمول حين يدخل بها إلى الخلاء ونحوه.</w:t>
      </w:r>
    </w:p>
    <w:sectPr w:rsidR="00ED5BCD" w:rsidRPr="009C0A93" w:rsidSect="00D6555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AA" w:rsidRDefault="003F68AA" w:rsidP="00110ECB">
      <w:pPr>
        <w:spacing w:after="0" w:line="240" w:lineRule="auto"/>
      </w:pPr>
      <w:r>
        <w:separator/>
      </w:r>
    </w:p>
  </w:endnote>
  <w:endnote w:type="continuationSeparator" w:id="0">
    <w:p w:rsidR="003F68AA" w:rsidRDefault="003F68AA" w:rsidP="0011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AA" w:rsidRDefault="003F68AA" w:rsidP="00110ECB">
      <w:pPr>
        <w:spacing w:after="0" w:line="240" w:lineRule="auto"/>
      </w:pPr>
      <w:r>
        <w:separator/>
      </w:r>
    </w:p>
  </w:footnote>
  <w:footnote w:type="continuationSeparator" w:id="0">
    <w:p w:rsidR="003F68AA" w:rsidRDefault="003F68AA" w:rsidP="00110ECB">
      <w:pPr>
        <w:spacing w:after="0" w:line="240" w:lineRule="auto"/>
      </w:pPr>
      <w:r>
        <w:continuationSeparator/>
      </w:r>
    </w:p>
  </w:footnote>
  <w:footnote w:id="1">
    <w:p w:rsidR="00110ECB" w:rsidRPr="00D1397B" w:rsidRDefault="00D1397B" w:rsidP="00D1397B">
      <w:pPr>
        <w:pStyle w:val="a4"/>
        <w:jc w:val="both"/>
        <w:rPr>
          <w:rFonts w:cs="Traditional Arabic"/>
          <w:sz w:val="24"/>
          <w:szCs w:val="24"/>
          <w:rtl/>
          <w:lang w:bidi="ar-EG"/>
        </w:rPr>
      </w:pPr>
      <w:proofErr w:type="gramStart"/>
      <w:r w:rsidRPr="00D1397B">
        <w:rPr>
          <w:rFonts w:cs="Traditional Arabic" w:hint="cs"/>
          <w:sz w:val="24"/>
          <w:szCs w:val="24"/>
          <w:rtl/>
        </w:rPr>
        <w:t>(</w:t>
      </w:r>
      <w:r w:rsidRPr="00D1397B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D1397B">
        <w:rPr>
          <w:rFonts w:cs="Traditional Arabic" w:hint="cs"/>
          <w:sz w:val="24"/>
          <w:szCs w:val="24"/>
          <w:rtl/>
        </w:rPr>
        <w:t>)</w:t>
      </w:r>
      <w:r>
        <w:rPr>
          <w:rFonts w:cs="Traditional Arabic" w:hint="cs"/>
          <w:sz w:val="24"/>
          <w:szCs w:val="24"/>
          <w:rtl/>
          <w:lang w:bidi="ar-EG"/>
        </w:rPr>
        <w:t>انظر</w:t>
      </w:r>
      <w:proofErr w:type="gramEnd"/>
      <w:r>
        <w:rPr>
          <w:rFonts w:cs="Traditional Arabic" w:hint="cs"/>
          <w:sz w:val="24"/>
          <w:szCs w:val="24"/>
          <w:rtl/>
          <w:lang w:bidi="ar-EG"/>
        </w:rPr>
        <w:t xml:space="preserve"> في نسبة القول لأبي جعفر وأ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حمد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 زاد المعاد،</w:t>
      </w:r>
      <w:r>
        <w:rPr>
          <w:rFonts w:cs="Traditional Arabic" w:hint="cs"/>
          <w:sz w:val="24"/>
          <w:szCs w:val="24"/>
          <w:rtl/>
          <w:lang w:bidi="ar-EG"/>
        </w:rPr>
        <w:t xml:space="preserve"> ابن القيم،(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4/357</w:t>
      </w:r>
      <w:r>
        <w:rPr>
          <w:rFonts w:cs="Traditional Arabic" w:hint="cs"/>
          <w:sz w:val="24"/>
          <w:szCs w:val="24"/>
          <w:rtl/>
          <w:lang w:bidi="ar-EG"/>
        </w:rPr>
        <w:t>)، قول أبي جعفر: مصنف ابن أ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بي شيبة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7/398</w:t>
      </w:r>
      <w:r>
        <w:rPr>
          <w:rFonts w:cs="Traditional Arabic" w:hint="cs"/>
          <w:sz w:val="24"/>
          <w:szCs w:val="24"/>
          <w:rtl/>
          <w:lang w:bidi="ar-EG"/>
        </w:rPr>
        <w:t>)، قول عطاء: مصنف ابن أ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بي شيبة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7/398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، قول سعيد ابن المسيب: مصنف ابن </w:t>
      </w:r>
      <w:r>
        <w:rPr>
          <w:rFonts w:cs="Traditional Arabic" w:hint="cs"/>
          <w:sz w:val="24"/>
          <w:szCs w:val="24"/>
          <w:rtl/>
          <w:lang w:bidi="ar-EG"/>
        </w:rPr>
        <w:t>أ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بي شيبة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7/396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، وما سيأتي من كلام </w:t>
      </w:r>
      <w:proofErr w:type="spellStart"/>
      <w:r w:rsidR="00110ECB" w:rsidRPr="00D1397B">
        <w:rPr>
          <w:rFonts w:cs="Traditional Arabic" w:hint="cs"/>
          <w:sz w:val="24"/>
          <w:szCs w:val="24"/>
          <w:rtl/>
          <w:lang w:bidi="ar-EG"/>
        </w:rPr>
        <w:t>البغوي</w:t>
      </w:r>
      <w:proofErr w:type="spellEnd"/>
      <w:r w:rsidR="00110ECB" w:rsidRPr="00D1397B">
        <w:rPr>
          <w:rFonts w:cs="Traditional Arabic" w:hint="cs"/>
          <w:sz w:val="24"/>
          <w:szCs w:val="24"/>
          <w:rtl/>
          <w:lang w:bidi="ar-EG"/>
        </w:rPr>
        <w:t>، قول البيهقي: السنن الكبرى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9/350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، قول الطحاوي: شرح معاني الآثار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4/325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، قول إسحاق بن </w:t>
      </w:r>
      <w:proofErr w:type="spellStart"/>
      <w:r w:rsidR="00110ECB" w:rsidRPr="00D1397B">
        <w:rPr>
          <w:rFonts w:cs="Traditional Arabic" w:hint="cs"/>
          <w:sz w:val="24"/>
          <w:szCs w:val="24"/>
          <w:rtl/>
          <w:lang w:bidi="ar-EG"/>
        </w:rPr>
        <w:t>راهوية</w:t>
      </w:r>
      <w:proofErr w:type="spellEnd"/>
      <w:r w:rsidR="00110ECB" w:rsidRPr="00D1397B">
        <w:rPr>
          <w:rFonts w:cs="Traditional Arabic" w:hint="cs"/>
          <w:sz w:val="24"/>
          <w:szCs w:val="24"/>
          <w:rtl/>
          <w:lang w:bidi="ar-EG"/>
        </w:rPr>
        <w:t>: التمهيد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17/165-166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، الاستذكار</w:t>
      </w:r>
      <w:r>
        <w:rPr>
          <w:rFonts w:cs="Traditional Arabic" w:hint="cs"/>
          <w:sz w:val="24"/>
          <w:szCs w:val="24"/>
          <w:rtl/>
          <w:lang w:bidi="ar-EG"/>
        </w:rPr>
        <w:t>، ابن عبد البر،(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8/397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2">
    <w:p w:rsidR="00110ECB" w:rsidRPr="00D1397B" w:rsidRDefault="00D1397B" w:rsidP="00D1397B">
      <w:pPr>
        <w:pStyle w:val="a4"/>
        <w:jc w:val="both"/>
        <w:rPr>
          <w:rFonts w:cs="Traditional Arabic"/>
          <w:sz w:val="24"/>
          <w:szCs w:val="24"/>
          <w:rtl/>
          <w:lang w:bidi="ar-EG"/>
        </w:rPr>
      </w:pPr>
      <w:proofErr w:type="gramStart"/>
      <w:r w:rsidRPr="00D1397B">
        <w:rPr>
          <w:rFonts w:cs="Traditional Arabic" w:hint="cs"/>
          <w:sz w:val="24"/>
          <w:szCs w:val="24"/>
          <w:rtl/>
        </w:rPr>
        <w:t>(</w:t>
      </w:r>
      <w:r w:rsidRPr="00D1397B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D1397B">
        <w:rPr>
          <w:rFonts w:cs="Traditional Arabic" w:hint="cs"/>
          <w:sz w:val="24"/>
          <w:szCs w:val="24"/>
          <w:rtl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شرح</w:t>
      </w:r>
      <w:proofErr w:type="gramEnd"/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 السنة</w:t>
      </w:r>
      <w:r>
        <w:rPr>
          <w:rFonts w:cs="Traditional Arabic" w:hint="cs"/>
          <w:sz w:val="24"/>
          <w:szCs w:val="24"/>
          <w:rtl/>
          <w:lang w:bidi="ar-EG"/>
        </w:rPr>
        <w:t xml:space="preserve">، </w:t>
      </w:r>
      <w:proofErr w:type="spellStart"/>
      <w:r>
        <w:rPr>
          <w:rFonts w:cs="Traditional Arabic" w:hint="cs"/>
          <w:sz w:val="24"/>
          <w:szCs w:val="24"/>
          <w:rtl/>
          <w:lang w:bidi="ar-EG"/>
        </w:rPr>
        <w:t>البربهاري</w:t>
      </w:r>
      <w:proofErr w:type="spellEnd"/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12/158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3">
    <w:p w:rsidR="00110ECB" w:rsidRPr="00D1397B" w:rsidRDefault="00D1397B" w:rsidP="00D1397B">
      <w:pPr>
        <w:pStyle w:val="a4"/>
        <w:jc w:val="both"/>
        <w:rPr>
          <w:rFonts w:cs="Traditional Arabic"/>
          <w:sz w:val="24"/>
          <w:szCs w:val="24"/>
          <w:rtl/>
          <w:lang w:bidi="ar-EG"/>
        </w:rPr>
      </w:pPr>
      <w:proofErr w:type="gramStart"/>
      <w:r w:rsidRPr="00D1397B">
        <w:rPr>
          <w:rFonts w:cs="Traditional Arabic" w:hint="cs"/>
          <w:sz w:val="24"/>
          <w:szCs w:val="24"/>
          <w:rtl/>
        </w:rPr>
        <w:t>(</w:t>
      </w:r>
      <w:r w:rsidRPr="00D1397B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D1397B">
        <w:rPr>
          <w:rFonts w:cs="Traditional Arabic" w:hint="cs"/>
          <w:sz w:val="24"/>
          <w:szCs w:val="24"/>
          <w:rtl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رواه</w:t>
      </w:r>
      <w:proofErr w:type="gramEnd"/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 الحاكم في المستدرك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4/242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، والبيهقي في السنن الكبرى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9/350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، وصححه الحاكم </w:t>
      </w:r>
      <w:proofErr w:type="spellStart"/>
      <w:r w:rsidR="00110ECB" w:rsidRPr="00D1397B">
        <w:rPr>
          <w:rFonts w:cs="Traditional Arabic" w:hint="cs"/>
          <w:sz w:val="24"/>
          <w:szCs w:val="24"/>
          <w:rtl/>
          <w:lang w:bidi="ar-EG"/>
        </w:rPr>
        <w:t>ووافقه</w:t>
      </w:r>
      <w:proofErr w:type="spellEnd"/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 الذهبي.</w:t>
      </w:r>
    </w:p>
  </w:footnote>
  <w:footnote w:id="4">
    <w:p w:rsidR="00110ECB" w:rsidRPr="00D1397B" w:rsidRDefault="00D1397B" w:rsidP="00D1397B">
      <w:pPr>
        <w:pStyle w:val="a4"/>
        <w:jc w:val="both"/>
        <w:rPr>
          <w:rFonts w:cs="Traditional Arabic"/>
          <w:sz w:val="24"/>
          <w:szCs w:val="24"/>
          <w:rtl/>
          <w:lang w:bidi="ar-EG"/>
        </w:rPr>
      </w:pPr>
      <w:proofErr w:type="gramStart"/>
      <w:r w:rsidRPr="00D1397B">
        <w:rPr>
          <w:rFonts w:cs="Traditional Arabic" w:hint="cs"/>
          <w:sz w:val="24"/>
          <w:szCs w:val="24"/>
          <w:rtl/>
        </w:rPr>
        <w:t>(</w:t>
      </w:r>
      <w:r w:rsidRPr="00D1397B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D1397B">
        <w:rPr>
          <w:rFonts w:cs="Traditional Arabic" w:hint="cs"/>
          <w:sz w:val="24"/>
          <w:szCs w:val="24"/>
          <w:rtl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رواه</w:t>
      </w:r>
      <w:proofErr w:type="gramEnd"/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 أبو داود</w:t>
      </w:r>
      <w:r>
        <w:rPr>
          <w:rFonts w:cs="Traditional Arabic" w:hint="cs"/>
          <w:sz w:val="24"/>
          <w:szCs w:val="24"/>
          <w:rtl/>
          <w:lang w:bidi="ar-EG"/>
        </w:rPr>
        <w:t xml:space="preserve">، كتاب 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الطب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 باب كيف الرقى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3893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، والترمذي</w:t>
      </w:r>
      <w:r>
        <w:rPr>
          <w:rFonts w:cs="Traditional Arabic" w:hint="cs"/>
          <w:sz w:val="24"/>
          <w:szCs w:val="24"/>
          <w:rtl/>
          <w:lang w:bidi="ar-EG"/>
        </w:rPr>
        <w:t xml:space="preserve">، كتاب 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الدعوات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3528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، وأحمد في مسند</w:t>
      </w:r>
      <w:r>
        <w:rPr>
          <w:rFonts w:cs="Traditional Arabic" w:hint="cs"/>
          <w:sz w:val="24"/>
          <w:szCs w:val="24"/>
          <w:rtl/>
          <w:lang w:bidi="ar-EG"/>
        </w:rPr>
        <w:t>ه،(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2/181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5">
    <w:p w:rsidR="00110ECB" w:rsidRPr="00D1397B" w:rsidRDefault="00D1397B" w:rsidP="00D1397B">
      <w:pPr>
        <w:pStyle w:val="a4"/>
        <w:jc w:val="both"/>
        <w:rPr>
          <w:rFonts w:cs="Traditional Arabic"/>
          <w:sz w:val="24"/>
          <w:szCs w:val="24"/>
          <w:rtl/>
          <w:lang w:bidi="ar-EG"/>
        </w:rPr>
      </w:pPr>
      <w:r w:rsidRPr="00D1397B">
        <w:rPr>
          <w:rFonts w:cs="Traditional Arabic" w:hint="cs"/>
          <w:sz w:val="24"/>
          <w:szCs w:val="24"/>
          <w:rtl/>
        </w:rPr>
        <w:t>(</w:t>
      </w:r>
      <w:r w:rsidRPr="00D1397B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D1397B">
        <w:rPr>
          <w:rFonts w:cs="Traditional Arabic" w:hint="cs"/>
          <w:sz w:val="24"/>
          <w:szCs w:val="24"/>
          <w:rtl/>
        </w:rPr>
        <w:t>)</w:t>
      </w:r>
      <w:r w:rsidR="005D41BE">
        <w:rPr>
          <w:rFonts w:cs="Traditional Arabic" w:hint="cs"/>
          <w:sz w:val="24"/>
          <w:szCs w:val="24"/>
          <w:rtl/>
        </w:rPr>
        <w:t xml:space="preserve"> 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رواه أبو داود</w:t>
      </w:r>
      <w:r>
        <w:rPr>
          <w:rFonts w:cs="Traditional Arabic" w:hint="cs"/>
          <w:sz w:val="24"/>
          <w:szCs w:val="24"/>
          <w:rtl/>
          <w:lang w:bidi="ar-EG"/>
        </w:rPr>
        <w:t>، كتاب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 الطب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 باب في تعليق </w:t>
      </w:r>
      <w:proofErr w:type="gramStart"/>
      <w:r w:rsidR="00110ECB" w:rsidRPr="00D1397B">
        <w:rPr>
          <w:rFonts w:cs="Traditional Arabic" w:hint="cs"/>
          <w:sz w:val="24"/>
          <w:szCs w:val="24"/>
          <w:rtl/>
          <w:lang w:bidi="ar-EG"/>
        </w:rPr>
        <w:t>التمائم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proofErr w:type="gramEnd"/>
      <w:r w:rsidR="00110ECB" w:rsidRPr="00D1397B">
        <w:rPr>
          <w:rFonts w:cs="Traditional Arabic" w:hint="cs"/>
          <w:sz w:val="24"/>
          <w:szCs w:val="24"/>
          <w:rtl/>
          <w:lang w:bidi="ar-EG"/>
        </w:rPr>
        <w:t>3883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، وابن ماجه</w:t>
      </w:r>
      <w:r>
        <w:rPr>
          <w:rFonts w:cs="Traditional Arabic" w:hint="cs"/>
          <w:sz w:val="24"/>
          <w:szCs w:val="24"/>
          <w:rtl/>
          <w:lang w:bidi="ar-EG"/>
        </w:rPr>
        <w:t xml:space="preserve">، كتاب 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الطب</w:t>
      </w:r>
      <w:r>
        <w:rPr>
          <w:rFonts w:cs="Traditional Arabic" w:hint="cs"/>
          <w:sz w:val="24"/>
          <w:szCs w:val="24"/>
          <w:rtl/>
          <w:lang w:bidi="ar-EG"/>
        </w:rPr>
        <w:t xml:space="preserve">، 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باب تعليق التمائم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3530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6">
    <w:p w:rsidR="00110ECB" w:rsidRPr="00D1397B" w:rsidRDefault="00D1397B" w:rsidP="00D1397B">
      <w:pPr>
        <w:pStyle w:val="a4"/>
        <w:jc w:val="both"/>
        <w:rPr>
          <w:rFonts w:cs="Traditional Arabic"/>
          <w:sz w:val="24"/>
          <w:szCs w:val="24"/>
          <w:lang w:bidi="ar-EG"/>
        </w:rPr>
      </w:pPr>
      <w:r w:rsidRPr="00D1397B">
        <w:rPr>
          <w:rFonts w:cs="Traditional Arabic" w:hint="cs"/>
          <w:sz w:val="24"/>
          <w:szCs w:val="24"/>
          <w:rtl/>
        </w:rPr>
        <w:t>(</w:t>
      </w:r>
      <w:r w:rsidRPr="00D1397B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D1397B">
        <w:rPr>
          <w:rFonts w:cs="Traditional Arabic" w:hint="cs"/>
          <w:sz w:val="24"/>
          <w:szCs w:val="24"/>
          <w:rtl/>
        </w:rPr>
        <w:t>)</w:t>
      </w:r>
      <w:r w:rsidR="005D41BE">
        <w:rPr>
          <w:rFonts w:cs="Traditional Arabic" w:hint="cs"/>
          <w:sz w:val="24"/>
          <w:szCs w:val="24"/>
          <w:rtl/>
        </w:rPr>
        <w:t xml:space="preserve"> 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رواه أبو داود</w:t>
      </w:r>
      <w:r>
        <w:rPr>
          <w:rFonts w:cs="Traditional Arabic" w:hint="cs"/>
          <w:sz w:val="24"/>
          <w:szCs w:val="24"/>
          <w:rtl/>
          <w:lang w:bidi="ar-EG"/>
        </w:rPr>
        <w:t xml:space="preserve">، كتاب 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الخاتم</w:t>
      </w:r>
      <w:r>
        <w:rPr>
          <w:rFonts w:cs="Traditional Arabic" w:hint="cs"/>
          <w:sz w:val="24"/>
          <w:szCs w:val="24"/>
          <w:rtl/>
          <w:lang w:bidi="ar-EG"/>
        </w:rPr>
        <w:t xml:space="preserve">، باب 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ما جاء في خاتم </w:t>
      </w:r>
      <w:proofErr w:type="gramStart"/>
      <w:r w:rsidR="00110ECB" w:rsidRPr="00D1397B">
        <w:rPr>
          <w:rFonts w:cs="Traditional Arabic" w:hint="cs"/>
          <w:sz w:val="24"/>
          <w:szCs w:val="24"/>
          <w:rtl/>
          <w:lang w:bidi="ar-EG"/>
        </w:rPr>
        <w:t>الذهب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proofErr w:type="gramEnd"/>
      <w:r w:rsidR="00110ECB" w:rsidRPr="00D1397B">
        <w:rPr>
          <w:rFonts w:cs="Traditional Arabic" w:hint="cs"/>
          <w:sz w:val="24"/>
          <w:szCs w:val="24"/>
          <w:rtl/>
          <w:lang w:bidi="ar-EG"/>
        </w:rPr>
        <w:t>4222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، والنسائي</w:t>
      </w:r>
      <w:r>
        <w:rPr>
          <w:rFonts w:cs="Traditional Arabic" w:hint="cs"/>
          <w:sz w:val="24"/>
          <w:szCs w:val="24"/>
          <w:rtl/>
          <w:lang w:bidi="ar-EG"/>
        </w:rPr>
        <w:t>، كتاب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 </w:t>
      </w:r>
      <w:proofErr w:type="spellStart"/>
      <w:r w:rsidR="00110ECB" w:rsidRPr="00D1397B">
        <w:rPr>
          <w:rFonts w:cs="Traditional Arabic" w:hint="cs"/>
          <w:sz w:val="24"/>
          <w:szCs w:val="24"/>
          <w:rtl/>
          <w:lang w:bidi="ar-EG"/>
        </w:rPr>
        <w:t>الزينة</w:t>
      </w:r>
      <w:r>
        <w:rPr>
          <w:rFonts w:cs="Traditional Arabic" w:hint="cs"/>
          <w:sz w:val="24"/>
          <w:szCs w:val="24"/>
          <w:rtl/>
          <w:lang w:bidi="ar-EG"/>
        </w:rPr>
        <w:t>،ب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اب</w:t>
      </w:r>
      <w:proofErr w:type="spellEnd"/>
      <w:r w:rsidR="00110ECB" w:rsidRPr="00D1397B">
        <w:rPr>
          <w:rFonts w:cs="Traditional Arabic" w:hint="cs"/>
          <w:sz w:val="24"/>
          <w:szCs w:val="24"/>
          <w:rtl/>
          <w:lang w:bidi="ar-EG"/>
        </w:rPr>
        <w:t xml:space="preserve"> الخضاب بالصفرة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5088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، وأحمد في مسند</w:t>
      </w:r>
      <w:r>
        <w:rPr>
          <w:rFonts w:cs="Traditional Arabic" w:hint="cs"/>
          <w:sz w:val="24"/>
          <w:szCs w:val="24"/>
          <w:rtl/>
          <w:lang w:bidi="ar-EG"/>
        </w:rPr>
        <w:t>ه،(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1/397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110ECB" w:rsidRPr="00D1397B">
        <w:rPr>
          <w:rFonts w:cs="Traditional Arabic" w:hint="cs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201D8"/>
    <w:multiLevelType w:val="hybridMultilevel"/>
    <w:tmpl w:val="C4B621A2"/>
    <w:lvl w:ilvl="0" w:tplc="9FD05CD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ECB"/>
    <w:rsid w:val="00096199"/>
    <w:rsid w:val="000C72BD"/>
    <w:rsid w:val="00110ECB"/>
    <w:rsid w:val="002078CA"/>
    <w:rsid w:val="00251550"/>
    <w:rsid w:val="003C57BC"/>
    <w:rsid w:val="003F68AA"/>
    <w:rsid w:val="004B63DB"/>
    <w:rsid w:val="00502E21"/>
    <w:rsid w:val="005A0EA1"/>
    <w:rsid w:val="005D41BE"/>
    <w:rsid w:val="00847B4D"/>
    <w:rsid w:val="009C0A93"/>
    <w:rsid w:val="00AC59EF"/>
    <w:rsid w:val="00C06BC1"/>
    <w:rsid w:val="00D1397B"/>
    <w:rsid w:val="00D65556"/>
    <w:rsid w:val="00E35B6C"/>
    <w:rsid w:val="00EB0417"/>
    <w:rsid w:val="00ED5BCD"/>
    <w:rsid w:val="00EF07F1"/>
    <w:rsid w:val="00F10D2D"/>
    <w:rsid w:val="00FB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DF0DC9-6406-40FD-AFFE-D20C6C87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CB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110EC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110E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0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9</cp:revision>
  <dcterms:created xsi:type="dcterms:W3CDTF">2016-03-01T13:32:00Z</dcterms:created>
  <dcterms:modified xsi:type="dcterms:W3CDTF">2016-07-03T17:01:00Z</dcterms:modified>
</cp:coreProperties>
</file>