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B3" w:rsidRPr="00491251" w:rsidRDefault="001A16B3" w:rsidP="00491251">
      <w:pPr>
        <w:spacing w:before="120" w:after="16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49125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هل كثرة الواقعين في </w:t>
      </w:r>
      <w:proofErr w:type="spellStart"/>
      <w:r w:rsidRPr="0049125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الاستغاثات</w:t>
      </w:r>
      <w:proofErr w:type="spellEnd"/>
      <w:r w:rsidRPr="0049125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من الأمة يعد إجماعًا على ذلك؟!</w:t>
      </w:r>
    </w:p>
    <w:p w:rsidR="00D31B75" w:rsidRPr="00491251" w:rsidRDefault="00D31B75" w:rsidP="00491251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يستدل</w:t>
      </w:r>
      <w:r w:rsidR="001A16B3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ُّ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المبتدعة بكثرة</w:t>
      </w:r>
      <w:r w:rsidR="001A16B3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الواقعين في </w:t>
      </w:r>
      <w:proofErr w:type="spellStart"/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الاستغاثات</w:t>
      </w:r>
      <w:proofErr w:type="spellEnd"/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من الأمة، وجعلهم هذا إجماعًا منها، والأمة لا تجتمع على </w:t>
      </w:r>
      <w:proofErr w:type="gramStart"/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ضلالة</w:t>
      </w:r>
      <w:r w:rsidR="001A16B3" w:rsidRPr="00491251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proofErr w:type="gramEnd"/>
      <w:r w:rsidRPr="00491251">
        <w:rPr>
          <w:rStyle w:val="a4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1A16B3" w:rsidRPr="00491251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="001A16B3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p w:rsidR="00D31B75" w:rsidRPr="00491251" w:rsidRDefault="00D31B75" w:rsidP="00491251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 w:hint="cs"/>
          <w:color w:val="FF0000"/>
          <w:sz w:val="32"/>
          <w:szCs w:val="32"/>
          <w:u w:val="single"/>
          <w:rtl/>
          <w:lang w:bidi="ar-EG"/>
        </w:rPr>
      </w:pPr>
      <w:r w:rsidRPr="00491251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u w:val="single"/>
          <w:rtl/>
          <w:lang w:bidi="ar-EG"/>
        </w:rPr>
        <w:t>الرد</w:t>
      </w:r>
      <w:r w:rsidRPr="00491251">
        <w:rPr>
          <w:rFonts w:ascii="Traditional Arabic" w:hAnsi="Traditional Arabic" w:cs="Traditional Arabic" w:hint="cs"/>
          <w:color w:val="FF0000"/>
          <w:sz w:val="32"/>
          <w:szCs w:val="32"/>
          <w:u w:val="single"/>
          <w:rtl/>
          <w:lang w:bidi="ar-EG"/>
        </w:rPr>
        <w:t>:</w:t>
      </w:r>
    </w:p>
    <w:p w:rsidR="001A16B3" w:rsidRPr="00491251" w:rsidRDefault="001A16B3" w:rsidP="00491251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49125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>أولًا: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الحق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ُّ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في اتباع جماعة الحق والهدى، ولئن قل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بهم زمان أو مكان، فالنجاة في اتباع طريقهم ولو قل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السالكون، كما دل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عليه حديث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حذيفة </w:t>
      </w:r>
      <w:r w:rsidR="00491251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رضي الله عنه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، وفيه: 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((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قلت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: فما تأم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ني إن أدر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ك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ني ذلك؟ قال: </w:t>
      </w:r>
      <w:r w:rsidR="00D31B75"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>ت</w:t>
      </w:r>
      <w:r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>َ</w:t>
      </w:r>
      <w:r w:rsidR="00D31B75"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>ل</w:t>
      </w:r>
      <w:r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>ْ</w:t>
      </w:r>
      <w:r w:rsidR="00D31B75"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>ز</w:t>
      </w:r>
      <w:r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>َ</w:t>
      </w:r>
      <w:r w:rsidR="00D31B75"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>م جماعة</w:t>
      </w:r>
      <w:r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>َ</w:t>
      </w:r>
      <w:r w:rsidR="00D31B75"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 xml:space="preserve"> المسلمين وإمام</w:t>
      </w:r>
      <w:r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>َ</w:t>
      </w:r>
      <w:r w:rsidR="00D31B75"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>هم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 قلت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: فإن لم يكن لهم جماعة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ولا إمام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؟ قال: </w:t>
      </w:r>
      <w:r w:rsidR="00D31B75"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>فاعتز</w:t>
      </w:r>
      <w:r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>ِ</w:t>
      </w:r>
      <w:r w:rsidR="00D31B75"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>ل تلك الف</w:t>
      </w:r>
      <w:r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>ِ</w:t>
      </w:r>
      <w:r w:rsidR="00D31B75"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>ر</w:t>
      </w:r>
      <w:r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>َ</w:t>
      </w:r>
      <w:r w:rsidR="00D31B75"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>ق</w:t>
      </w:r>
      <w:r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>َ</w:t>
      </w:r>
      <w:r w:rsidR="00D31B75"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 xml:space="preserve"> كل</w:t>
      </w:r>
      <w:r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>َّ</w:t>
      </w:r>
      <w:r w:rsidR="00D31B75"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>ها ولو أن تعض</w:t>
      </w:r>
      <w:r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>َّ</w:t>
      </w:r>
      <w:r w:rsidR="00D31B75"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 xml:space="preserve"> بأصل</w:t>
      </w:r>
      <w:r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>ِ</w:t>
      </w:r>
      <w:r w:rsidR="00D31B75"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 xml:space="preserve"> شجرة</w:t>
      </w:r>
      <w:r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>ٍ</w:t>
      </w:r>
      <w:r w:rsidR="00D31B75"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>، حتى يدرك</w:t>
      </w:r>
      <w:r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>ك</w:t>
      </w:r>
      <w:r w:rsidR="00D31B75"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 xml:space="preserve"> الموت</w:t>
      </w:r>
      <w:r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>ُ</w:t>
      </w:r>
      <w:r w:rsidR="00D31B75" w:rsidRPr="00491251">
        <w:rPr>
          <w:rFonts w:ascii="Traditional Arabic" w:hAnsi="Traditional Arabic" w:cs="Traditional Arabic" w:hint="cs"/>
          <w:color w:val="0000FF"/>
          <w:sz w:val="32"/>
          <w:szCs w:val="32"/>
          <w:rtl/>
          <w:lang w:bidi="ar-EG"/>
        </w:rPr>
        <w:t xml:space="preserve"> وأنت على ذلك</w:t>
      </w:r>
      <w:proofErr w:type="gramStart"/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)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)</w:t>
      </w:r>
      <w:r w:rsidRPr="00491251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proofErr w:type="gramEnd"/>
      <w:r w:rsidR="00D31B75" w:rsidRPr="00491251">
        <w:rPr>
          <w:rStyle w:val="a4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Pr="00491251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p w:rsidR="001A16B3" w:rsidRPr="00491251" w:rsidRDefault="001A16B3" w:rsidP="00491251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49125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>ثانيًا: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ليس معيار الحق هو الكثرة أو القلة، بل مرد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ُّ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ذلك إلى الآيات البينات، والحجج الظاهرات، ولقد أخبر الله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تعالى عن كثرة الناس الكاثرة التي أعرضت عن الإيمان والتوحيد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؛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قال تعالى: </w:t>
      </w:r>
      <w:r w:rsidR="00D31B75" w:rsidRPr="00491251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>{</w:t>
      </w:r>
      <w:r w:rsidR="00D31B75" w:rsidRPr="00491251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وَمَا</w:t>
      </w:r>
      <w:r w:rsidR="00D31B75" w:rsidRPr="00491251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="00D31B75" w:rsidRPr="00491251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أَكْثَرُ</w:t>
      </w:r>
      <w:r w:rsidR="00D31B75" w:rsidRPr="00491251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="00D31B75" w:rsidRPr="00491251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النَّاسِ</w:t>
      </w:r>
      <w:r w:rsidR="00D31B75" w:rsidRPr="00491251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="00D31B75" w:rsidRPr="00491251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وَلَوْ</w:t>
      </w:r>
      <w:r w:rsidR="00D31B75" w:rsidRPr="00491251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="00D31B75" w:rsidRPr="00491251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حَرَصْتَ</w:t>
      </w:r>
      <w:r w:rsidR="00D31B75" w:rsidRPr="00491251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="00D31B75" w:rsidRPr="00491251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بِمُؤْمِنِينَ</w:t>
      </w:r>
      <w:r w:rsidR="00D31B75" w:rsidRPr="00491251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>}</w:t>
      </w:r>
      <w:r w:rsidR="00D31B75" w:rsidRPr="00491251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bookmarkStart w:id="0" w:name="_GoBack"/>
      <w:bookmarkEnd w:id="0"/>
      <w:r w:rsidR="00D31B75" w:rsidRPr="00491251">
        <w:rPr>
          <w:rFonts w:ascii="Traditional Arabic" w:hAnsi="Traditional Arabic" w:cs="Traditional Arabic"/>
          <w:sz w:val="32"/>
          <w:szCs w:val="32"/>
          <w:rtl/>
          <w:lang w:bidi="ar-EG"/>
        </w:rPr>
        <w:t>[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يوسف</w:t>
      </w:r>
      <w:r w:rsidR="00D31B75" w:rsidRPr="00491251">
        <w:rPr>
          <w:rFonts w:ascii="Traditional Arabic" w:hAnsi="Traditional Arabic" w:cs="Traditional Arabic"/>
          <w:sz w:val="32"/>
          <w:szCs w:val="32"/>
          <w:rtl/>
          <w:lang w:bidi="ar-EG"/>
        </w:rPr>
        <w:t>: 103]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، وقال تعالى: </w:t>
      </w:r>
      <w:r w:rsidR="00D31B75" w:rsidRPr="00491251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>{</w:t>
      </w:r>
      <w:r w:rsidR="00D31B75" w:rsidRPr="00491251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وَإِنْ</w:t>
      </w:r>
      <w:r w:rsidR="00D31B75" w:rsidRPr="00491251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="00D31B75" w:rsidRPr="00491251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تُطِعْ</w:t>
      </w:r>
      <w:r w:rsidR="00D31B75" w:rsidRPr="00491251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="00D31B75" w:rsidRPr="00491251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أَكْثَرَ</w:t>
      </w:r>
      <w:r w:rsidR="00D31B75" w:rsidRPr="00491251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="00D31B75" w:rsidRPr="00491251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مَنْ</w:t>
      </w:r>
      <w:r w:rsidR="00D31B75" w:rsidRPr="00491251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="00D31B75" w:rsidRPr="00491251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فِي</w:t>
      </w:r>
      <w:r w:rsidR="00D31B75" w:rsidRPr="00491251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="00D31B75" w:rsidRPr="00491251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الْأَرْضِ</w:t>
      </w:r>
      <w:r w:rsidR="00D31B75" w:rsidRPr="00491251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="00D31B75" w:rsidRPr="00491251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يُضِلُّوكَ</w:t>
      </w:r>
      <w:r w:rsidR="00D31B75" w:rsidRPr="00491251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="00D31B75" w:rsidRPr="00491251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عَنْ</w:t>
      </w:r>
      <w:r w:rsidR="00D31B75" w:rsidRPr="00491251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="00D31B75" w:rsidRPr="00491251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سَبِيلِ</w:t>
      </w:r>
      <w:r w:rsidR="00D31B75" w:rsidRPr="00491251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="00D31B75" w:rsidRPr="00491251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اللَّهِ</w:t>
      </w:r>
      <w:r w:rsidR="00D31B75" w:rsidRPr="00491251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>}</w:t>
      </w:r>
      <w:r w:rsidR="00D31B75" w:rsidRPr="00491251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[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الأنعام</w:t>
      </w:r>
      <w:r w:rsidR="00D31B75" w:rsidRPr="00491251">
        <w:rPr>
          <w:rFonts w:ascii="Traditional Arabic" w:hAnsi="Traditional Arabic" w:cs="Traditional Arabic"/>
          <w:sz w:val="32"/>
          <w:szCs w:val="32"/>
          <w:rtl/>
          <w:lang w:bidi="ar-EG"/>
        </w:rPr>
        <w:t>: 116]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 فالكثرة حين تفقد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معنى الحق فلا يعبأ بها ولا يلتفت إليها.</w:t>
      </w:r>
    </w:p>
    <w:p w:rsidR="00D31B75" w:rsidRPr="00491251" w:rsidRDefault="001A16B3" w:rsidP="00491251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  <w:r w:rsidRPr="0049125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>ثالثًا: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قال الفضيل بن عياض </w:t>
      </w:r>
      <w:proofErr w:type="gramStart"/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- 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رحمه</w:t>
      </w:r>
      <w:proofErr w:type="gramEnd"/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الله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-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: (الزم طرق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الهدى، ولا يضر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ُّ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ك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قلة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السالكين، وإياك وطرق الضلالة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 ولا تغتر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بكثرة</w:t>
      </w:r>
      <w:r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الهالكين)</w:t>
      </w:r>
      <w:r w:rsidRPr="00491251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r w:rsidR="00D31B75" w:rsidRPr="00491251">
        <w:rPr>
          <w:rStyle w:val="a4"/>
          <w:rFonts w:ascii="Traditional Arabic" w:hAnsi="Traditional Arabic" w:cs="Traditional Arabic"/>
          <w:sz w:val="32"/>
          <w:szCs w:val="32"/>
          <w:rtl/>
          <w:lang w:bidi="ar-EG"/>
        </w:rPr>
        <w:footnoteReference w:id="3"/>
      </w:r>
      <w:r w:rsidRPr="00491251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="00D31B75" w:rsidRPr="0049125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p w:rsidR="00D31B75" w:rsidRPr="00491251" w:rsidRDefault="00D31B75" w:rsidP="00491251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</w:p>
    <w:p w:rsidR="005A7F30" w:rsidRPr="00491251" w:rsidRDefault="005A7F30" w:rsidP="00491251">
      <w:pPr>
        <w:spacing w:before="120" w:after="160" w:line="240" w:lineRule="auto"/>
        <w:ind w:firstLine="227"/>
        <w:jc w:val="lowKashida"/>
        <w:rPr>
          <w:sz w:val="32"/>
          <w:szCs w:val="32"/>
        </w:rPr>
      </w:pPr>
    </w:p>
    <w:sectPr w:rsidR="005A7F30" w:rsidRPr="00491251" w:rsidSect="004D7C6A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20" w:rsidRDefault="009D4220" w:rsidP="00D31B75">
      <w:pPr>
        <w:spacing w:after="0" w:line="240" w:lineRule="auto"/>
      </w:pPr>
      <w:r>
        <w:separator/>
      </w:r>
    </w:p>
  </w:endnote>
  <w:endnote w:type="continuationSeparator" w:id="0">
    <w:p w:rsidR="009D4220" w:rsidRDefault="009D4220" w:rsidP="00D3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20" w:rsidRDefault="009D4220" w:rsidP="00D31B75">
      <w:pPr>
        <w:spacing w:after="0" w:line="240" w:lineRule="auto"/>
      </w:pPr>
      <w:r>
        <w:separator/>
      </w:r>
    </w:p>
  </w:footnote>
  <w:footnote w:type="continuationSeparator" w:id="0">
    <w:p w:rsidR="009D4220" w:rsidRDefault="009D4220" w:rsidP="00D31B75">
      <w:pPr>
        <w:spacing w:after="0" w:line="240" w:lineRule="auto"/>
      </w:pPr>
      <w:r>
        <w:continuationSeparator/>
      </w:r>
    </w:p>
  </w:footnote>
  <w:footnote w:id="1">
    <w:p w:rsidR="00D31B75" w:rsidRPr="00605E51" w:rsidRDefault="001A16B3" w:rsidP="001A16B3">
      <w:pPr>
        <w:pStyle w:val="a3"/>
        <w:jc w:val="both"/>
        <w:rPr>
          <w:rFonts w:cs="Traditional Arabic"/>
          <w:sz w:val="24"/>
          <w:szCs w:val="24"/>
          <w:rtl/>
          <w:lang w:bidi="ar-EG"/>
        </w:rPr>
      </w:pPr>
      <w:r>
        <w:rPr>
          <w:rFonts w:cs="Traditional Arabic" w:hint="cs"/>
          <w:sz w:val="24"/>
          <w:szCs w:val="24"/>
          <w:rtl/>
        </w:rPr>
        <w:t>(</w:t>
      </w:r>
      <w:r w:rsidR="00D31B75" w:rsidRPr="00605E51">
        <w:rPr>
          <w:rStyle w:val="a4"/>
          <w:rFonts w:cs="Traditional Arabic"/>
          <w:sz w:val="24"/>
          <w:szCs w:val="24"/>
          <w:vertAlign w:val="baseline"/>
        </w:rPr>
        <w:footnoteRef/>
      </w:r>
      <w:r>
        <w:rPr>
          <w:rFonts w:cs="Traditional Arabic" w:hint="cs"/>
          <w:sz w:val="24"/>
          <w:szCs w:val="24"/>
          <w:rtl/>
        </w:rPr>
        <w:t>)</w:t>
      </w:r>
      <w:r w:rsidR="00D31B75" w:rsidRPr="00605E51">
        <w:rPr>
          <w:rFonts w:cs="Traditional Arabic"/>
          <w:sz w:val="24"/>
          <w:szCs w:val="24"/>
          <w:rtl/>
        </w:rPr>
        <w:t xml:space="preserve"> 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>الدرر السنية، ص</w:t>
      </w:r>
      <w:r>
        <w:rPr>
          <w:rFonts w:cs="Traditional Arabic" w:hint="cs"/>
          <w:sz w:val="24"/>
          <w:szCs w:val="24"/>
          <w:rtl/>
          <w:lang w:bidi="ar-EG"/>
        </w:rPr>
        <w:t>(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>31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>، الصواعق الإلهية</w:t>
      </w:r>
      <w:r>
        <w:rPr>
          <w:rFonts w:cs="Traditional Arabic" w:hint="cs"/>
          <w:sz w:val="24"/>
          <w:szCs w:val="24"/>
          <w:rtl/>
          <w:lang w:bidi="ar-EG"/>
        </w:rPr>
        <w:t>،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 xml:space="preserve"> سليمان بن عبد الوهاب، ص</w:t>
      </w:r>
      <w:r>
        <w:rPr>
          <w:rFonts w:cs="Traditional Arabic" w:hint="cs"/>
          <w:sz w:val="24"/>
          <w:szCs w:val="24"/>
          <w:rtl/>
          <w:lang w:bidi="ar-EG"/>
        </w:rPr>
        <w:t>(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>32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>، شواهد الحق</w:t>
      </w:r>
      <w:r>
        <w:rPr>
          <w:rFonts w:cs="Traditional Arabic" w:hint="cs"/>
          <w:sz w:val="24"/>
          <w:szCs w:val="24"/>
          <w:rtl/>
          <w:lang w:bidi="ar-EG"/>
        </w:rPr>
        <w:t>،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 xml:space="preserve"> </w:t>
      </w:r>
      <w:r>
        <w:rPr>
          <w:rFonts w:cs="Traditional Arabic" w:hint="cs"/>
          <w:sz w:val="24"/>
          <w:szCs w:val="24"/>
          <w:rtl/>
          <w:lang w:bidi="ar-EG"/>
        </w:rPr>
        <w:t>ا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>لنبهاني، ص</w:t>
      </w:r>
      <w:r>
        <w:rPr>
          <w:rFonts w:cs="Traditional Arabic" w:hint="cs"/>
          <w:sz w:val="24"/>
          <w:szCs w:val="24"/>
          <w:rtl/>
          <w:lang w:bidi="ar-EG"/>
        </w:rPr>
        <w:t>(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>160-171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>، وانظر</w:t>
      </w:r>
      <w:r>
        <w:rPr>
          <w:rFonts w:cs="Traditional Arabic" w:hint="cs"/>
          <w:sz w:val="24"/>
          <w:szCs w:val="24"/>
          <w:rtl/>
          <w:lang w:bidi="ar-EG"/>
        </w:rPr>
        <w:t>: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 xml:space="preserve"> صيانة الإنسان</w:t>
      </w:r>
      <w:r>
        <w:rPr>
          <w:rFonts w:cs="Traditional Arabic" w:hint="cs"/>
          <w:sz w:val="24"/>
          <w:szCs w:val="24"/>
          <w:rtl/>
          <w:lang w:bidi="ar-EG"/>
        </w:rPr>
        <w:t>،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 xml:space="preserve"> </w:t>
      </w:r>
      <w:proofErr w:type="spellStart"/>
      <w:r>
        <w:rPr>
          <w:rFonts w:cs="Traditional Arabic" w:hint="cs"/>
          <w:sz w:val="24"/>
          <w:szCs w:val="24"/>
          <w:rtl/>
          <w:lang w:bidi="ar-EG"/>
        </w:rPr>
        <w:t>ا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>لسهسواني</w:t>
      </w:r>
      <w:proofErr w:type="spellEnd"/>
      <w:r w:rsidR="00D31B75" w:rsidRPr="00605E51">
        <w:rPr>
          <w:rFonts w:cs="Traditional Arabic" w:hint="cs"/>
          <w:sz w:val="24"/>
          <w:szCs w:val="24"/>
          <w:rtl/>
          <w:lang w:bidi="ar-EG"/>
        </w:rPr>
        <w:t>، ص</w:t>
      </w:r>
      <w:r>
        <w:rPr>
          <w:rFonts w:cs="Traditional Arabic" w:hint="cs"/>
          <w:sz w:val="24"/>
          <w:szCs w:val="24"/>
          <w:rtl/>
          <w:lang w:bidi="ar-EG"/>
        </w:rPr>
        <w:t>(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>303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>، الصراع بين الإسلام والوثنية</w:t>
      </w:r>
      <w:r>
        <w:rPr>
          <w:rFonts w:cs="Traditional Arabic" w:hint="cs"/>
          <w:sz w:val="24"/>
          <w:szCs w:val="24"/>
          <w:rtl/>
          <w:lang w:bidi="ar-EG"/>
        </w:rPr>
        <w:t>،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 xml:space="preserve"> </w:t>
      </w:r>
      <w:proofErr w:type="spellStart"/>
      <w:r>
        <w:rPr>
          <w:rFonts w:cs="Traditional Arabic" w:hint="cs"/>
          <w:sz w:val="24"/>
          <w:szCs w:val="24"/>
          <w:rtl/>
          <w:lang w:bidi="ar-EG"/>
        </w:rPr>
        <w:t>ا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>لقصيمي</w:t>
      </w:r>
      <w:proofErr w:type="spellEnd"/>
      <w:r w:rsidR="00D31B75" w:rsidRPr="00605E51">
        <w:rPr>
          <w:rFonts w:cs="Traditional Arabic" w:hint="cs"/>
          <w:sz w:val="24"/>
          <w:szCs w:val="24"/>
          <w:rtl/>
          <w:lang w:bidi="ar-EG"/>
        </w:rPr>
        <w:t xml:space="preserve">، </w:t>
      </w:r>
      <w:r>
        <w:rPr>
          <w:rFonts w:cs="Traditional Arabic" w:hint="cs"/>
          <w:sz w:val="24"/>
          <w:szCs w:val="24"/>
          <w:rtl/>
          <w:lang w:bidi="ar-EG"/>
        </w:rPr>
        <w:t>(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>2/495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>.</w:t>
      </w:r>
    </w:p>
  </w:footnote>
  <w:footnote w:id="2">
    <w:p w:rsidR="00D31B75" w:rsidRPr="00605E51" w:rsidRDefault="001A16B3" w:rsidP="001A16B3">
      <w:pPr>
        <w:pStyle w:val="a3"/>
        <w:jc w:val="both"/>
        <w:rPr>
          <w:rFonts w:cs="Traditional Arabic"/>
          <w:sz w:val="24"/>
          <w:szCs w:val="24"/>
          <w:rtl/>
          <w:lang w:bidi="ar-EG"/>
        </w:rPr>
      </w:pPr>
      <w:r>
        <w:rPr>
          <w:rFonts w:cs="Traditional Arabic" w:hint="cs"/>
          <w:sz w:val="24"/>
          <w:szCs w:val="24"/>
          <w:rtl/>
        </w:rPr>
        <w:t>(</w:t>
      </w:r>
      <w:r w:rsidRPr="00605E51">
        <w:rPr>
          <w:rStyle w:val="a4"/>
          <w:rFonts w:cs="Traditional Arabic"/>
          <w:sz w:val="24"/>
          <w:szCs w:val="24"/>
          <w:vertAlign w:val="baseline"/>
        </w:rPr>
        <w:footnoteRef/>
      </w:r>
      <w:r>
        <w:rPr>
          <w:rFonts w:cs="Traditional Arabic" w:hint="cs"/>
          <w:sz w:val="24"/>
          <w:szCs w:val="24"/>
          <w:rtl/>
        </w:rPr>
        <w:t>)</w:t>
      </w:r>
      <w:r w:rsidR="00D31B75" w:rsidRPr="00605E51">
        <w:rPr>
          <w:rFonts w:cs="Traditional Arabic"/>
          <w:sz w:val="24"/>
          <w:szCs w:val="24"/>
          <w:rtl/>
        </w:rPr>
        <w:t xml:space="preserve"> 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>رواه البخاري</w:t>
      </w:r>
      <w:r>
        <w:rPr>
          <w:rFonts w:cs="Traditional Arabic" w:hint="cs"/>
          <w:sz w:val="24"/>
          <w:szCs w:val="24"/>
          <w:rtl/>
          <w:lang w:bidi="ar-EG"/>
        </w:rPr>
        <w:t>،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 xml:space="preserve"> </w:t>
      </w:r>
      <w:r>
        <w:rPr>
          <w:rFonts w:cs="Traditional Arabic" w:hint="cs"/>
          <w:sz w:val="24"/>
          <w:szCs w:val="24"/>
          <w:rtl/>
          <w:lang w:bidi="ar-EG"/>
        </w:rPr>
        <w:t xml:space="preserve">كتاب 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>المناقب</w:t>
      </w:r>
      <w:r>
        <w:rPr>
          <w:rFonts w:cs="Traditional Arabic" w:hint="cs"/>
          <w:sz w:val="24"/>
          <w:szCs w:val="24"/>
          <w:rtl/>
          <w:lang w:bidi="ar-EG"/>
        </w:rPr>
        <w:t>،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 xml:space="preserve"> باب علامات النبوة في الإسلام</w:t>
      </w:r>
      <w:r>
        <w:rPr>
          <w:rFonts w:cs="Traditional Arabic" w:hint="cs"/>
          <w:sz w:val="24"/>
          <w:szCs w:val="24"/>
          <w:rtl/>
          <w:lang w:bidi="ar-EG"/>
        </w:rPr>
        <w:t>،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 xml:space="preserve"> </w:t>
      </w:r>
      <w:r>
        <w:rPr>
          <w:rFonts w:cs="Traditional Arabic" w:hint="cs"/>
          <w:sz w:val="24"/>
          <w:szCs w:val="24"/>
          <w:rtl/>
          <w:lang w:bidi="ar-EG"/>
        </w:rPr>
        <w:t>(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>3606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>، ومسلم</w:t>
      </w:r>
      <w:r>
        <w:rPr>
          <w:rFonts w:cs="Traditional Arabic" w:hint="cs"/>
          <w:sz w:val="24"/>
          <w:szCs w:val="24"/>
          <w:rtl/>
          <w:lang w:bidi="ar-EG"/>
        </w:rPr>
        <w:t>،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 xml:space="preserve"> </w:t>
      </w:r>
      <w:r>
        <w:rPr>
          <w:rFonts w:cs="Traditional Arabic" w:hint="cs"/>
          <w:sz w:val="24"/>
          <w:szCs w:val="24"/>
          <w:rtl/>
          <w:lang w:bidi="ar-EG"/>
        </w:rPr>
        <w:t>كتاب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 xml:space="preserve"> الإمارة</w:t>
      </w:r>
      <w:r>
        <w:rPr>
          <w:rFonts w:cs="Traditional Arabic" w:hint="cs"/>
          <w:sz w:val="24"/>
          <w:szCs w:val="24"/>
          <w:rtl/>
          <w:lang w:bidi="ar-EG"/>
        </w:rPr>
        <w:t>،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 xml:space="preserve"> باب وجوب ملازمة جماعة المسلمين عند ظهور الفتن</w:t>
      </w:r>
      <w:r>
        <w:rPr>
          <w:rFonts w:cs="Traditional Arabic" w:hint="cs"/>
          <w:sz w:val="24"/>
          <w:szCs w:val="24"/>
          <w:rtl/>
          <w:lang w:bidi="ar-EG"/>
        </w:rPr>
        <w:t>،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 xml:space="preserve"> </w:t>
      </w:r>
      <w:r>
        <w:rPr>
          <w:rFonts w:cs="Traditional Arabic" w:hint="cs"/>
          <w:sz w:val="24"/>
          <w:szCs w:val="24"/>
          <w:rtl/>
          <w:lang w:bidi="ar-EG"/>
        </w:rPr>
        <w:t>(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>1847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>.</w:t>
      </w:r>
    </w:p>
  </w:footnote>
  <w:footnote w:id="3">
    <w:p w:rsidR="00D31B75" w:rsidRPr="00605E51" w:rsidRDefault="001A16B3" w:rsidP="001A16B3">
      <w:pPr>
        <w:pStyle w:val="a3"/>
        <w:jc w:val="both"/>
        <w:rPr>
          <w:rFonts w:cs="Traditional Arabic"/>
          <w:sz w:val="24"/>
          <w:szCs w:val="24"/>
          <w:lang w:bidi="ar-EG"/>
        </w:rPr>
      </w:pPr>
      <w:r>
        <w:rPr>
          <w:rFonts w:cs="Traditional Arabic" w:hint="cs"/>
          <w:sz w:val="24"/>
          <w:szCs w:val="24"/>
          <w:rtl/>
        </w:rPr>
        <w:t>(</w:t>
      </w:r>
      <w:r w:rsidRPr="00605E51">
        <w:rPr>
          <w:rStyle w:val="a4"/>
          <w:rFonts w:cs="Traditional Arabic"/>
          <w:sz w:val="24"/>
          <w:szCs w:val="24"/>
          <w:vertAlign w:val="baseline"/>
        </w:rPr>
        <w:footnoteRef/>
      </w:r>
      <w:r>
        <w:rPr>
          <w:rFonts w:cs="Traditional Arabic" w:hint="cs"/>
          <w:sz w:val="24"/>
          <w:szCs w:val="24"/>
          <w:rtl/>
        </w:rPr>
        <w:t>)</w:t>
      </w:r>
      <w:r w:rsidR="00D31B75" w:rsidRPr="00605E51">
        <w:rPr>
          <w:rFonts w:cs="Traditional Arabic"/>
          <w:sz w:val="24"/>
          <w:szCs w:val="24"/>
          <w:rtl/>
        </w:rPr>
        <w:t xml:space="preserve"> 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>نقلًا عن صيانة الإنسان</w:t>
      </w:r>
      <w:r>
        <w:rPr>
          <w:rFonts w:cs="Traditional Arabic" w:hint="cs"/>
          <w:sz w:val="24"/>
          <w:szCs w:val="24"/>
          <w:rtl/>
          <w:lang w:bidi="ar-EG"/>
        </w:rPr>
        <w:t>،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 xml:space="preserve"> </w:t>
      </w:r>
      <w:proofErr w:type="spellStart"/>
      <w:r>
        <w:rPr>
          <w:rFonts w:cs="Traditional Arabic" w:hint="cs"/>
          <w:sz w:val="24"/>
          <w:szCs w:val="24"/>
          <w:rtl/>
          <w:lang w:bidi="ar-EG"/>
        </w:rPr>
        <w:t>ا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>لسهسواني</w:t>
      </w:r>
      <w:proofErr w:type="spellEnd"/>
      <w:r w:rsidR="00D31B75" w:rsidRPr="00605E51">
        <w:rPr>
          <w:rFonts w:cs="Traditional Arabic" w:hint="cs"/>
          <w:sz w:val="24"/>
          <w:szCs w:val="24"/>
          <w:rtl/>
          <w:lang w:bidi="ar-EG"/>
        </w:rPr>
        <w:t>، ص</w:t>
      </w:r>
      <w:r>
        <w:rPr>
          <w:rFonts w:cs="Traditional Arabic" w:hint="cs"/>
          <w:sz w:val="24"/>
          <w:szCs w:val="24"/>
          <w:rtl/>
          <w:lang w:bidi="ar-EG"/>
        </w:rPr>
        <w:t>(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>308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>، وقد أشار إليه ابن القيم في المدارج</w:t>
      </w:r>
      <w:r>
        <w:rPr>
          <w:rFonts w:cs="Traditional Arabic" w:hint="cs"/>
          <w:sz w:val="24"/>
          <w:szCs w:val="24"/>
          <w:rtl/>
          <w:lang w:bidi="ar-EG"/>
        </w:rPr>
        <w:t>،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 xml:space="preserve"> </w:t>
      </w:r>
      <w:r>
        <w:rPr>
          <w:rFonts w:cs="Traditional Arabic" w:hint="cs"/>
          <w:sz w:val="24"/>
          <w:szCs w:val="24"/>
          <w:rtl/>
          <w:lang w:bidi="ar-EG"/>
        </w:rPr>
        <w:t>(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>2/5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D31B75" w:rsidRPr="00605E51">
        <w:rPr>
          <w:rFonts w:cs="Traditional Arabic" w:hint="cs"/>
          <w:sz w:val="24"/>
          <w:szCs w:val="24"/>
          <w:rtl/>
          <w:lang w:bidi="ar-EG"/>
        </w:rPr>
        <w:t>، دون تعيين نسبة.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36FCE"/>
    <w:multiLevelType w:val="hybridMultilevel"/>
    <w:tmpl w:val="02108766"/>
    <w:lvl w:ilvl="0" w:tplc="794615D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B75"/>
    <w:rsid w:val="001A16B3"/>
    <w:rsid w:val="002078CA"/>
    <w:rsid w:val="002121FC"/>
    <w:rsid w:val="00420880"/>
    <w:rsid w:val="00491251"/>
    <w:rsid w:val="004D7C6A"/>
    <w:rsid w:val="005A7F30"/>
    <w:rsid w:val="00605E51"/>
    <w:rsid w:val="009D4220"/>
    <w:rsid w:val="00B56701"/>
    <w:rsid w:val="00D31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8B1F2D-E278-4B98-AF7C-EF8C002A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D31B75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D31B75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31B75"/>
    <w:rPr>
      <w:vertAlign w:val="superscript"/>
    </w:rPr>
  </w:style>
  <w:style w:type="paragraph" w:styleId="a5">
    <w:name w:val="List Paragraph"/>
    <w:basedOn w:val="a"/>
    <w:uiPriority w:val="34"/>
    <w:qFormat/>
    <w:rsid w:val="00D31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ayman mesbah</cp:lastModifiedBy>
  <cp:revision>5</cp:revision>
  <dcterms:created xsi:type="dcterms:W3CDTF">2016-03-01T13:21:00Z</dcterms:created>
  <dcterms:modified xsi:type="dcterms:W3CDTF">2016-06-27T16:20:00Z</dcterms:modified>
</cp:coreProperties>
</file>