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848" w:rsidRPr="00AC60FD" w:rsidRDefault="00AC60FD" w:rsidP="00AC60FD">
      <w:pPr>
        <w:spacing w:before="120" w:after="120" w:line="240" w:lineRule="auto"/>
        <w:ind w:firstLine="227"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شبهة أن </w:t>
      </w:r>
      <w:r w:rsidR="001D3848" w:rsidRPr="00AC60FD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لو كانت الاستغاثة</w:t>
      </w:r>
      <w:r w:rsidR="00257B65" w:rsidRPr="00AC60FD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ُ</w:t>
      </w:r>
      <w:r w:rsidR="001D3848" w:rsidRPr="00AC60FD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شركًا لم يعرضها جبريلُ على إبراهيمَ </w:t>
      </w:r>
      <w:r w:rsidRPr="00AC60F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عليه السلام</w:t>
      </w:r>
    </w:p>
    <w:p w:rsidR="006D649C" w:rsidRPr="00AC60FD" w:rsidRDefault="006D649C" w:rsidP="00AC60FD">
      <w:pPr>
        <w:spacing w:before="120" w:after="120" w:line="240" w:lineRule="auto"/>
        <w:ind w:firstLine="227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AC60FD">
        <w:rPr>
          <w:rFonts w:ascii="Traditional Arabic" w:hAnsi="Traditional Arabic" w:cs="Traditional Arabic"/>
          <w:sz w:val="32"/>
          <w:szCs w:val="32"/>
          <w:rtl/>
          <w:lang w:bidi="ar-EG"/>
        </w:rPr>
        <w:t>يستدل</w:t>
      </w:r>
      <w:r w:rsidR="00257B65" w:rsidRPr="00AC60FD">
        <w:rPr>
          <w:rFonts w:ascii="Traditional Arabic" w:hAnsi="Traditional Arabic" w:cs="Traditional Arabic"/>
          <w:sz w:val="32"/>
          <w:szCs w:val="32"/>
          <w:rtl/>
          <w:lang w:bidi="ar-EG"/>
        </w:rPr>
        <w:t>ُّ</w:t>
      </w:r>
      <w:r w:rsidRPr="00AC60F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المبتدعة بجواز الاستغاثة بأثر محادثة جبريل </w:t>
      </w:r>
      <w:r w:rsidR="00AC60FD">
        <w:rPr>
          <w:rFonts w:ascii="Traditional Arabic" w:hAnsi="Traditional Arabic" w:cs="Traditional Arabic"/>
          <w:sz w:val="32"/>
          <w:szCs w:val="32"/>
          <w:rtl/>
          <w:lang w:bidi="ar-EG"/>
        </w:rPr>
        <w:t>عليه السلام</w:t>
      </w:r>
      <w:r w:rsidR="00AC60F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Pr="00AC60F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مع إبراهيم </w:t>
      </w:r>
      <w:r w:rsidR="00AC60FD">
        <w:rPr>
          <w:rFonts w:ascii="Traditional Arabic" w:hAnsi="Traditional Arabic" w:cs="Traditional Arabic" w:hint="cs"/>
          <w:sz w:val="32"/>
          <w:szCs w:val="32"/>
          <w:rtl/>
        </w:rPr>
        <w:t xml:space="preserve">عليه </w:t>
      </w:r>
      <w:proofErr w:type="gramStart"/>
      <w:r w:rsidR="00AC60FD">
        <w:rPr>
          <w:rFonts w:ascii="Traditional Arabic" w:hAnsi="Traditional Arabic" w:cs="Traditional Arabic" w:hint="cs"/>
          <w:sz w:val="32"/>
          <w:szCs w:val="32"/>
          <w:rtl/>
        </w:rPr>
        <w:t>السلام</w:t>
      </w:r>
      <w:r w:rsidR="00AC60FD" w:rsidRPr="00AC60F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257B65" w:rsidRPr="00AC60FD">
        <w:rPr>
          <w:rFonts w:ascii="Traditional Arabic" w:hAnsi="Traditional Arabic" w:cs="Traditional Arabic"/>
          <w:sz w:val="32"/>
          <w:szCs w:val="32"/>
          <w:rtl/>
          <w:lang w:bidi="ar-EG"/>
        </w:rPr>
        <w:t>،</w:t>
      </w:r>
      <w:proofErr w:type="gramEnd"/>
      <w:r w:rsidRPr="00AC60F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وأن يغيثه لما ألقاه قوم</w:t>
      </w:r>
      <w:r w:rsidR="00257B65" w:rsidRPr="00AC60FD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AC60F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ه في النار، حيث قال لإبراهيم: </w:t>
      </w:r>
      <w:r w:rsidR="00257B65" w:rsidRPr="00AC60FD">
        <w:rPr>
          <w:rFonts w:ascii="Traditional Arabic" w:hAnsi="Traditional Arabic" w:cs="Traditional Arabic"/>
          <w:sz w:val="32"/>
          <w:szCs w:val="32"/>
          <w:rtl/>
          <w:lang w:bidi="ar-EG"/>
        </w:rPr>
        <w:t>(</w:t>
      </w:r>
      <w:r w:rsidRPr="00AC60FD">
        <w:rPr>
          <w:rFonts w:ascii="Traditional Arabic" w:hAnsi="Traditional Arabic" w:cs="Traditional Arabic"/>
          <w:sz w:val="32"/>
          <w:szCs w:val="32"/>
          <w:rtl/>
          <w:lang w:bidi="ar-EG"/>
        </w:rPr>
        <w:t>أل</w:t>
      </w:r>
      <w:r w:rsidR="00257B65" w:rsidRPr="00AC60FD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AC60FD">
        <w:rPr>
          <w:rFonts w:ascii="Traditional Arabic" w:hAnsi="Traditional Arabic" w:cs="Traditional Arabic"/>
          <w:sz w:val="32"/>
          <w:szCs w:val="32"/>
          <w:rtl/>
          <w:lang w:bidi="ar-EG"/>
        </w:rPr>
        <w:t>ك</w:t>
      </w:r>
      <w:r w:rsidR="00257B65" w:rsidRPr="00AC60FD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AC60F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حاجة؟ فقال إبراهيم </w:t>
      </w:r>
      <w:r w:rsidR="00AC60FD">
        <w:rPr>
          <w:rFonts w:ascii="Traditional Arabic" w:hAnsi="Traditional Arabic" w:cs="Traditional Arabic" w:hint="cs"/>
          <w:sz w:val="32"/>
          <w:szCs w:val="32"/>
          <w:rtl/>
        </w:rPr>
        <w:t>عليه السلام</w:t>
      </w:r>
      <w:r w:rsidRPr="00AC60F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: أما إليك </w:t>
      </w:r>
      <w:proofErr w:type="gramStart"/>
      <w:r w:rsidRPr="00AC60FD">
        <w:rPr>
          <w:rFonts w:ascii="Traditional Arabic" w:hAnsi="Traditional Arabic" w:cs="Traditional Arabic"/>
          <w:sz w:val="32"/>
          <w:szCs w:val="32"/>
          <w:rtl/>
          <w:lang w:bidi="ar-EG"/>
        </w:rPr>
        <w:t>فلا</w:t>
      </w:r>
      <w:r w:rsidR="00257B65" w:rsidRPr="00AC60FD">
        <w:rPr>
          <w:rFonts w:ascii="Traditional Arabic" w:hAnsi="Traditional Arabic" w:cs="Traditional Arabic"/>
          <w:sz w:val="32"/>
          <w:szCs w:val="32"/>
          <w:rtl/>
          <w:lang w:bidi="ar-EG"/>
        </w:rPr>
        <w:t>)</w:t>
      </w:r>
      <w:r w:rsidR="00257B65" w:rsidRPr="00AC60FD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proofErr w:type="gramEnd"/>
      <w:r w:rsidRPr="00AC60FD">
        <w:rPr>
          <w:rStyle w:val="a4"/>
          <w:rFonts w:ascii="Traditional Arabic" w:hAnsi="Traditional Arabic" w:cs="Traditional Arabic"/>
          <w:sz w:val="32"/>
          <w:szCs w:val="32"/>
          <w:rtl/>
          <w:lang w:bidi="ar-EG"/>
        </w:rPr>
        <w:footnoteReference w:id="1"/>
      </w:r>
      <w:r w:rsidR="00257B65" w:rsidRPr="00AC60FD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257B65" w:rsidRPr="00AC60FD">
        <w:rPr>
          <w:rFonts w:ascii="Traditional Arabic" w:hAnsi="Traditional Arabic" w:cs="Traditional Arabic"/>
          <w:sz w:val="32"/>
          <w:szCs w:val="32"/>
          <w:rtl/>
          <w:lang w:bidi="ar-EG"/>
        </w:rPr>
        <w:t>،</w:t>
      </w:r>
      <w:r w:rsidRPr="00AC60F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قالوا: فلو كانت الاستغاثة شركًا لم يعرضها على إبراهيم </w:t>
      </w:r>
      <w:r w:rsidR="00AC60FD">
        <w:rPr>
          <w:rFonts w:ascii="Traditional Arabic" w:hAnsi="Traditional Arabic" w:cs="Traditional Arabic" w:hint="cs"/>
          <w:sz w:val="32"/>
          <w:szCs w:val="32"/>
          <w:rtl/>
        </w:rPr>
        <w:t>عليه السلام</w:t>
      </w:r>
      <w:r w:rsidRPr="00AC60FD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6D649C" w:rsidRPr="00F209B5" w:rsidRDefault="006D649C" w:rsidP="00AC60FD">
      <w:pPr>
        <w:spacing w:before="120" w:after="120" w:line="240" w:lineRule="auto"/>
        <w:ind w:firstLine="227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  <w:r w:rsidRPr="00F209B5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ال</w:t>
      </w:r>
      <w:bookmarkStart w:id="0" w:name="_GoBack"/>
      <w:bookmarkEnd w:id="0"/>
      <w:r w:rsidRPr="00F209B5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رد:</w:t>
      </w:r>
    </w:p>
    <w:p w:rsidR="00257B65" w:rsidRPr="00AC60FD" w:rsidRDefault="00257B65" w:rsidP="00AC60FD">
      <w:pPr>
        <w:spacing w:before="120" w:after="120" w:line="240" w:lineRule="auto"/>
        <w:ind w:firstLine="227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AC60F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أولًا:</w:t>
      </w:r>
      <w:r w:rsidRPr="00AC60F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6D649C" w:rsidRPr="00AC60FD">
        <w:rPr>
          <w:rFonts w:ascii="Traditional Arabic" w:hAnsi="Traditional Arabic" w:cs="Traditional Arabic"/>
          <w:sz w:val="32"/>
          <w:szCs w:val="32"/>
          <w:rtl/>
          <w:lang w:bidi="ar-EG"/>
        </w:rPr>
        <w:t>هذه القصة ليست حديث</w:t>
      </w:r>
      <w:r w:rsidRPr="00AC60FD">
        <w:rPr>
          <w:rFonts w:ascii="Traditional Arabic" w:hAnsi="Traditional Arabic" w:cs="Traditional Arabic"/>
          <w:sz w:val="32"/>
          <w:szCs w:val="32"/>
          <w:rtl/>
          <w:lang w:bidi="ar-EG"/>
        </w:rPr>
        <w:t>ًا</w:t>
      </w:r>
      <w:r w:rsidR="006D649C" w:rsidRPr="00AC60F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مرفوع</w:t>
      </w:r>
      <w:r w:rsidRPr="00AC60FD">
        <w:rPr>
          <w:rFonts w:ascii="Traditional Arabic" w:hAnsi="Traditional Arabic" w:cs="Traditional Arabic"/>
          <w:sz w:val="32"/>
          <w:szCs w:val="32"/>
          <w:rtl/>
          <w:lang w:bidi="ar-EG"/>
        </w:rPr>
        <w:t>ًا</w:t>
      </w:r>
      <w:r w:rsidR="006D649C" w:rsidRPr="00AC60F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إلى النبي </w:t>
      </w:r>
      <w:r w:rsidR="00AC60F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صلى الله عليه </w:t>
      </w:r>
      <w:proofErr w:type="gramStart"/>
      <w:r w:rsidR="00AC60F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وسلم </w:t>
      </w:r>
      <w:r w:rsidR="006D649C" w:rsidRPr="00AC60FD">
        <w:rPr>
          <w:rFonts w:ascii="Traditional Arabic" w:hAnsi="Traditional Arabic" w:cs="Traditional Arabic"/>
          <w:sz w:val="32"/>
          <w:szCs w:val="32"/>
          <w:rtl/>
          <w:lang w:bidi="ar-EG"/>
        </w:rPr>
        <w:t>،</w:t>
      </w:r>
      <w:proofErr w:type="gramEnd"/>
      <w:r w:rsidR="006D649C" w:rsidRPr="00AC60F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ولكن يذكر</w:t>
      </w:r>
      <w:r w:rsidRPr="00AC60FD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6D649C" w:rsidRPr="00AC60FD">
        <w:rPr>
          <w:rFonts w:ascii="Traditional Arabic" w:hAnsi="Traditional Arabic" w:cs="Traditional Arabic"/>
          <w:sz w:val="32"/>
          <w:szCs w:val="32"/>
          <w:rtl/>
          <w:lang w:bidi="ar-EG"/>
        </w:rPr>
        <w:t>ها بعض السلف</w:t>
      </w:r>
      <w:r w:rsidRPr="00AC60FD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="006D649C" w:rsidRPr="00AC60FD">
        <w:rPr>
          <w:rStyle w:val="a4"/>
          <w:rFonts w:ascii="Traditional Arabic" w:hAnsi="Traditional Arabic" w:cs="Traditional Arabic"/>
          <w:sz w:val="32"/>
          <w:szCs w:val="32"/>
          <w:rtl/>
          <w:lang w:bidi="ar-EG"/>
        </w:rPr>
        <w:footnoteReference w:id="2"/>
      </w:r>
      <w:r w:rsidRPr="00AC60FD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Pr="00AC60FD">
        <w:rPr>
          <w:rFonts w:ascii="Traditional Arabic" w:hAnsi="Traditional Arabic" w:cs="Traditional Arabic"/>
          <w:sz w:val="32"/>
          <w:szCs w:val="32"/>
          <w:rtl/>
          <w:lang w:bidi="ar-EG"/>
        </w:rPr>
        <w:t>،</w:t>
      </w:r>
      <w:r w:rsidR="006D649C" w:rsidRPr="00AC60F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ولئن صح</w:t>
      </w:r>
      <w:r w:rsidRPr="00AC60FD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="006D649C" w:rsidRPr="00AC60F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الاستدلال</w:t>
      </w:r>
      <w:r w:rsidRPr="00AC60FD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6D649C" w:rsidRPr="00AC60F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بها، فهي أعظم دليل على ما عليه أهل</w:t>
      </w:r>
      <w:r w:rsidRPr="00AC60FD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6D649C" w:rsidRPr="00AC60F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السنة من الاستغاثة بالله وحده دون من سواه.</w:t>
      </w:r>
    </w:p>
    <w:p w:rsidR="006D649C" w:rsidRPr="00AC60FD" w:rsidRDefault="00257B65" w:rsidP="00AC60FD">
      <w:pPr>
        <w:spacing w:before="120" w:after="120" w:line="240" w:lineRule="auto"/>
        <w:ind w:firstLine="227"/>
        <w:jc w:val="both"/>
        <w:rPr>
          <w:rFonts w:ascii="Traditional Arabic" w:hAnsi="Traditional Arabic" w:cs="Traditional Arabic"/>
          <w:sz w:val="32"/>
          <w:szCs w:val="32"/>
          <w:lang w:bidi="ar-EG"/>
        </w:rPr>
      </w:pPr>
      <w:r w:rsidRPr="00AC60F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ثانيًا:</w:t>
      </w:r>
      <w:r w:rsidRPr="00AC60F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6D649C" w:rsidRPr="00AC60F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عرض جبريل </w:t>
      </w:r>
      <w:r w:rsidR="00AC60FD">
        <w:rPr>
          <w:rFonts w:ascii="Traditional Arabic" w:hAnsi="Traditional Arabic" w:cs="Traditional Arabic"/>
          <w:sz w:val="32"/>
          <w:szCs w:val="32"/>
          <w:rtl/>
          <w:lang w:bidi="ar-EG"/>
        </w:rPr>
        <w:t>عليه السلام</w:t>
      </w:r>
      <w:r w:rsidR="00AC60F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6D649C" w:rsidRPr="00AC60F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على إبراهيم </w:t>
      </w:r>
      <w:r w:rsidR="00AC60FD">
        <w:rPr>
          <w:rFonts w:ascii="Traditional Arabic" w:hAnsi="Traditional Arabic" w:cs="Traditional Arabic"/>
          <w:sz w:val="32"/>
          <w:szCs w:val="32"/>
          <w:rtl/>
          <w:lang w:bidi="ar-EG"/>
        </w:rPr>
        <w:t>عليه السلام</w:t>
      </w:r>
      <w:r w:rsidR="00AC60F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6D649C" w:rsidRPr="00AC60FD">
        <w:rPr>
          <w:rFonts w:ascii="Traditional Arabic" w:hAnsi="Traditional Arabic" w:cs="Traditional Arabic"/>
          <w:sz w:val="32"/>
          <w:szCs w:val="32"/>
          <w:rtl/>
          <w:lang w:bidi="ar-EG"/>
        </w:rPr>
        <w:t>أن ينفعه بأمر</w:t>
      </w:r>
      <w:r w:rsidRPr="00AC60FD">
        <w:rPr>
          <w:rFonts w:ascii="Traditional Arabic" w:hAnsi="Traditional Arabic" w:cs="Traditional Arabic"/>
          <w:sz w:val="32"/>
          <w:szCs w:val="32"/>
          <w:rtl/>
          <w:lang w:bidi="ar-EG"/>
        </w:rPr>
        <w:t>ٍ</w:t>
      </w:r>
      <w:r w:rsidR="006D649C" w:rsidRPr="00AC60F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يقدر</w:t>
      </w:r>
      <w:r w:rsidRPr="00AC60FD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6D649C" w:rsidRPr="00AC60F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عليه، والاستغاثة</w:t>
      </w:r>
      <w:r w:rsidRPr="00AC60FD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6D649C" w:rsidRPr="00AC60F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بالحي الحاضر على ما يقدر</w:t>
      </w:r>
      <w:r w:rsidRPr="00AC60FD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6D649C" w:rsidRPr="00AC60F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عليه ليست من الشرك</w:t>
      </w:r>
      <w:r w:rsidRPr="00AC60FD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6D649C" w:rsidRPr="00AC60F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 </w:t>
      </w:r>
      <w:proofErr w:type="gramStart"/>
      <w:r w:rsidR="006D649C" w:rsidRPr="00AC60FD">
        <w:rPr>
          <w:rFonts w:ascii="Traditional Arabic" w:hAnsi="Traditional Arabic" w:cs="Traditional Arabic"/>
          <w:sz w:val="32"/>
          <w:szCs w:val="32"/>
          <w:rtl/>
          <w:lang w:bidi="ar-EG"/>
        </w:rPr>
        <w:t>شيء</w:t>
      </w:r>
      <w:r w:rsidRPr="00AC60FD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proofErr w:type="gramEnd"/>
      <w:r w:rsidR="006D649C" w:rsidRPr="00AC60FD">
        <w:rPr>
          <w:rStyle w:val="a4"/>
          <w:rFonts w:ascii="Traditional Arabic" w:hAnsi="Traditional Arabic" w:cs="Traditional Arabic"/>
          <w:sz w:val="32"/>
          <w:szCs w:val="32"/>
          <w:rtl/>
          <w:lang w:bidi="ar-EG"/>
        </w:rPr>
        <w:footnoteReference w:id="3"/>
      </w:r>
      <w:r w:rsidRPr="00AC60FD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6D649C" w:rsidRPr="00AC60FD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6D649C" w:rsidRPr="00AC60FD" w:rsidRDefault="006D649C" w:rsidP="00AC60FD">
      <w:pPr>
        <w:spacing w:before="120" w:after="120" w:line="240" w:lineRule="auto"/>
        <w:ind w:firstLine="227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</w:p>
    <w:p w:rsidR="005A7F30" w:rsidRPr="00AC60FD" w:rsidRDefault="005A7F30" w:rsidP="00AC60FD">
      <w:pPr>
        <w:spacing w:before="120" w:after="120" w:line="240" w:lineRule="auto"/>
        <w:ind w:firstLine="227"/>
        <w:jc w:val="both"/>
        <w:rPr>
          <w:rFonts w:ascii="Traditional Arabic" w:hAnsi="Traditional Arabic" w:cs="Traditional Arabic" w:hint="cs"/>
          <w:sz w:val="32"/>
          <w:szCs w:val="32"/>
          <w:lang w:bidi="ar-EG"/>
        </w:rPr>
      </w:pPr>
    </w:p>
    <w:sectPr w:rsidR="005A7F30" w:rsidRPr="00AC60FD" w:rsidSect="00F209B5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0A9" w:rsidRDefault="00EC40A9" w:rsidP="006D649C">
      <w:pPr>
        <w:spacing w:after="0" w:line="240" w:lineRule="auto"/>
      </w:pPr>
      <w:r>
        <w:separator/>
      </w:r>
    </w:p>
  </w:endnote>
  <w:endnote w:type="continuationSeparator" w:id="0">
    <w:p w:rsidR="00EC40A9" w:rsidRDefault="00EC40A9" w:rsidP="006D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0A9" w:rsidRDefault="00EC40A9" w:rsidP="006D649C">
      <w:pPr>
        <w:spacing w:after="0" w:line="240" w:lineRule="auto"/>
      </w:pPr>
      <w:r>
        <w:separator/>
      </w:r>
    </w:p>
  </w:footnote>
  <w:footnote w:type="continuationSeparator" w:id="0">
    <w:p w:rsidR="00EC40A9" w:rsidRDefault="00EC40A9" w:rsidP="006D649C">
      <w:pPr>
        <w:spacing w:after="0" w:line="240" w:lineRule="auto"/>
      </w:pPr>
      <w:r>
        <w:continuationSeparator/>
      </w:r>
    </w:p>
  </w:footnote>
  <w:footnote w:id="1">
    <w:p w:rsidR="006D649C" w:rsidRPr="001D3848" w:rsidRDefault="00257B65" w:rsidP="00257B65">
      <w:pPr>
        <w:pStyle w:val="a3"/>
        <w:jc w:val="both"/>
        <w:rPr>
          <w:rFonts w:cs="Traditional Arabic"/>
          <w:sz w:val="24"/>
          <w:szCs w:val="24"/>
          <w:lang w:bidi="ar-EG"/>
        </w:rPr>
      </w:pPr>
      <w:r>
        <w:rPr>
          <w:rFonts w:cs="Traditional Arabic" w:hint="cs"/>
          <w:sz w:val="24"/>
          <w:szCs w:val="24"/>
          <w:rtl/>
        </w:rPr>
        <w:t>(</w:t>
      </w:r>
      <w:r w:rsidR="006D649C" w:rsidRPr="001D3848">
        <w:rPr>
          <w:rStyle w:val="a4"/>
          <w:rFonts w:cs="Traditional Arabic"/>
          <w:sz w:val="24"/>
          <w:szCs w:val="24"/>
          <w:vertAlign w:val="baseline"/>
        </w:rPr>
        <w:footnoteRef/>
      </w:r>
      <w:r>
        <w:rPr>
          <w:rFonts w:cs="Traditional Arabic" w:hint="cs"/>
          <w:sz w:val="24"/>
          <w:szCs w:val="24"/>
          <w:rtl/>
        </w:rPr>
        <w:t>)</w:t>
      </w:r>
      <w:r w:rsidR="006D649C" w:rsidRPr="001D3848">
        <w:rPr>
          <w:rFonts w:cs="Traditional Arabic"/>
          <w:sz w:val="24"/>
          <w:szCs w:val="24"/>
          <w:rtl/>
        </w:rPr>
        <w:t xml:space="preserve"> </w:t>
      </w:r>
      <w:r w:rsidR="006D649C" w:rsidRPr="001D3848">
        <w:rPr>
          <w:rFonts w:cs="Traditional Arabic" w:hint="cs"/>
          <w:sz w:val="24"/>
          <w:szCs w:val="24"/>
          <w:rtl/>
          <w:lang w:bidi="ar-EG"/>
        </w:rPr>
        <w:t>مصباح الأنام</w:t>
      </w:r>
      <w:r>
        <w:rPr>
          <w:rFonts w:cs="Traditional Arabic" w:hint="cs"/>
          <w:sz w:val="24"/>
          <w:szCs w:val="24"/>
          <w:rtl/>
          <w:lang w:bidi="ar-EG"/>
        </w:rPr>
        <w:t>،</w:t>
      </w:r>
      <w:r w:rsidR="006D649C" w:rsidRPr="001D3848">
        <w:rPr>
          <w:rFonts w:cs="Traditional Arabic" w:hint="cs"/>
          <w:sz w:val="24"/>
          <w:szCs w:val="24"/>
          <w:rtl/>
          <w:lang w:bidi="ar-EG"/>
        </w:rPr>
        <w:t xml:space="preserve"> </w:t>
      </w:r>
      <w:r>
        <w:rPr>
          <w:rFonts w:cs="Traditional Arabic" w:hint="cs"/>
          <w:sz w:val="24"/>
          <w:szCs w:val="24"/>
          <w:rtl/>
          <w:lang w:bidi="ar-EG"/>
        </w:rPr>
        <w:t>ا</w:t>
      </w:r>
      <w:r w:rsidR="006D649C" w:rsidRPr="001D3848">
        <w:rPr>
          <w:rFonts w:cs="Traditional Arabic" w:hint="cs"/>
          <w:sz w:val="24"/>
          <w:szCs w:val="24"/>
          <w:rtl/>
          <w:lang w:bidi="ar-EG"/>
        </w:rPr>
        <w:t>لحداد، ص</w:t>
      </w:r>
      <w:r>
        <w:rPr>
          <w:rFonts w:cs="Traditional Arabic" w:hint="cs"/>
          <w:sz w:val="24"/>
          <w:szCs w:val="24"/>
          <w:rtl/>
          <w:lang w:bidi="ar-EG"/>
        </w:rPr>
        <w:t>(</w:t>
      </w:r>
      <w:r w:rsidR="006D649C" w:rsidRPr="001D3848">
        <w:rPr>
          <w:rFonts w:cs="Traditional Arabic" w:hint="cs"/>
          <w:sz w:val="24"/>
          <w:szCs w:val="24"/>
          <w:rtl/>
          <w:lang w:bidi="ar-EG"/>
        </w:rPr>
        <w:t>30</w:t>
      </w:r>
      <w:r>
        <w:rPr>
          <w:rFonts w:cs="Traditional Arabic" w:hint="cs"/>
          <w:sz w:val="24"/>
          <w:szCs w:val="24"/>
          <w:rtl/>
          <w:lang w:bidi="ar-EG"/>
        </w:rPr>
        <w:t>)،</w:t>
      </w:r>
      <w:r w:rsidR="006D649C" w:rsidRPr="001D3848">
        <w:rPr>
          <w:rFonts w:cs="Traditional Arabic" w:hint="cs"/>
          <w:sz w:val="24"/>
          <w:szCs w:val="24"/>
          <w:rtl/>
          <w:lang w:bidi="ar-EG"/>
        </w:rPr>
        <w:t xml:space="preserve"> مكتبة الحقيقة</w:t>
      </w:r>
      <w:r>
        <w:rPr>
          <w:rFonts w:cs="Traditional Arabic" w:hint="cs"/>
          <w:sz w:val="24"/>
          <w:szCs w:val="24"/>
          <w:rtl/>
          <w:lang w:bidi="ar-EG"/>
        </w:rPr>
        <w:t>،</w:t>
      </w:r>
      <w:r w:rsidR="006D649C" w:rsidRPr="001D3848">
        <w:rPr>
          <w:rFonts w:cs="Traditional Arabic" w:hint="cs"/>
          <w:sz w:val="24"/>
          <w:szCs w:val="24"/>
          <w:rtl/>
          <w:lang w:bidi="ar-EG"/>
        </w:rPr>
        <w:t xml:space="preserve"> </w:t>
      </w:r>
      <w:r>
        <w:rPr>
          <w:rFonts w:cs="Traditional Arabic" w:hint="cs"/>
          <w:sz w:val="24"/>
          <w:szCs w:val="24"/>
          <w:rtl/>
          <w:lang w:bidi="ar-EG"/>
        </w:rPr>
        <w:t>إ</w:t>
      </w:r>
      <w:r w:rsidR="006D649C" w:rsidRPr="001D3848">
        <w:rPr>
          <w:rFonts w:cs="Traditional Arabic" w:hint="cs"/>
          <w:sz w:val="24"/>
          <w:szCs w:val="24"/>
          <w:rtl/>
          <w:lang w:bidi="ar-EG"/>
        </w:rPr>
        <w:t>س</w:t>
      </w:r>
      <w:r>
        <w:rPr>
          <w:rFonts w:cs="Traditional Arabic" w:hint="cs"/>
          <w:sz w:val="24"/>
          <w:szCs w:val="24"/>
          <w:rtl/>
          <w:lang w:bidi="ar-EG"/>
        </w:rPr>
        <w:t>ط</w:t>
      </w:r>
      <w:r w:rsidR="006D649C" w:rsidRPr="001D3848">
        <w:rPr>
          <w:rFonts w:cs="Traditional Arabic" w:hint="cs"/>
          <w:sz w:val="24"/>
          <w:szCs w:val="24"/>
          <w:rtl/>
          <w:lang w:bidi="ar-EG"/>
        </w:rPr>
        <w:t>نبول.</w:t>
      </w:r>
    </w:p>
  </w:footnote>
  <w:footnote w:id="2">
    <w:p w:rsidR="006D649C" w:rsidRPr="001D3848" w:rsidRDefault="00257B65" w:rsidP="00257B65">
      <w:pPr>
        <w:pStyle w:val="a3"/>
        <w:jc w:val="both"/>
        <w:rPr>
          <w:rFonts w:cs="Traditional Arabic"/>
          <w:sz w:val="24"/>
          <w:szCs w:val="24"/>
          <w:lang w:bidi="ar-EG"/>
        </w:rPr>
      </w:pPr>
      <w:r>
        <w:rPr>
          <w:rFonts w:cs="Traditional Arabic" w:hint="cs"/>
          <w:sz w:val="24"/>
          <w:szCs w:val="24"/>
          <w:rtl/>
        </w:rPr>
        <w:t>(</w:t>
      </w:r>
      <w:r w:rsidRPr="001D3848">
        <w:rPr>
          <w:rStyle w:val="a4"/>
          <w:rFonts w:cs="Traditional Arabic"/>
          <w:sz w:val="24"/>
          <w:szCs w:val="24"/>
          <w:vertAlign w:val="baseline"/>
        </w:rPr>
        <w:footnoteRef/>
      </w:r>
      <w:r>
        <w:rPr>
          <w:rFonts w:cs="Traditional Arabic" w:hint="cs"/>
          <w:sz w:val="24"/>
          <w:szCs w:val="24"/>
          <w:rtl/>
        </w:rPr>
        <w:t>)</w:t>
      </w:r>
      <w:r w:rsidR="006D649C" w:rsidRPr="001D3848">
        <w:rPr>
          <w:rFonts w:cs="Traditional Arabic"/>
          <w:sz w:val="24"/>
          <w:szCs w:val="24"/>
          <w:rtl/>
        </w:rPr>
        <w:t xml:space="preserve"> </w:t>
      </w:r>
      <w:r w:rsidR="006D649C" w:rsidRPr="001D3848">
        <w:rPr>
          <w:rFonts w:cs="Traditional Arabic" w:hint="cs"/>
          <w:sz w:val="24"/>
          <w:szCs w:val="24"/>
          <w:rtl/>
          <w:lang w:bidi="ar-EG"/>
        </w:rPr>
        <w:t>جامع البيان</w:t>
      </w:r>
      <w:r>
        <w:rPr>
          <w:rFonts w:cs="Traditional Arabic" w:hint="cs"/>
          <w:sz w:val="24"/>
          <w:szCs w:val="24"/>
          <w:rtl/>
          <w:lang w:bidi="ar-EG"/>
        </w:rPr>
        <w:t>،</w:t>
      </w:r>
      <w:r w:rsidR="006D649C" w:rsidRPr="001D3848">
        <w:rPr>
          <w:rFonts w:cs="Traditional Arabic" w:hint="cs"/>
          <w:sz w:val="24"/>
          <w:szCs w:val="24"/>
          <w:rtl/>
          <w:lang w:bidi="ar-EG"/>
        </w:rPr>
        <w:t xml:space="preserve"> </w:t>
      </w:r>
      <w:r>
        <w:rPr>
          <w:rFonts w:cs="Traditional Arabic" w:hint="cs"/>
          <w:sz w:val="24"/>
          <w:szCs w:val="24"/>
          <w:rtl/>
          <w:lang w:bidi="ar-EG"/>
        </w:rPr>
        <w:t>ا</w:t>
      </w:r>
      <w:r w:rsidR="006D649C" w:rsidRPr="001D3848">
        <w:rPr>
          <w:rFonts w:cs="Traditional Arabic" w:hint="cs"/>
          <w:sz w:val="24"/>
          <w:szCs w:val="24"/>
          <w:rtl/>
          <w:lang w:bidi="ar-EG"/>
        </w:rPr>
        <w:t>لطبري</w:t>
      </w:r>
      <w:r>
        <w:rPr>
          <w:rFonts w:cs="Traditional Arabic" w:hint="cs"/>
          <w:sz w:val="24"/>
          <w:szCs w:val="24"/>
          <w:rtl/>
          <w:lang w:bidi="ar-EG"/>
        </w:rPr>
        <w:t>،</w:t>
      </w:r>
      <w:r w:rsidR="006D649C" w:rsidRPr="001D3848">
        <w:rPr>
          <w:rFonts w:cs="Traditional Arabic" w:hint="cs"/>
          <w:sz w:val="24"/>
          <w:szCs w:val="24"/>
          <w:rtl/>
          <w:lang w:bidi="ar-EG"/>
        </w:rPr>
        <w:t xml:space="preserve"> (10/17-45)</w:t>
      </w:r>
      <w:r>
        <w:rPr>
          <w:rFonts w:cs="Traditional Arabic" w:hint="cs"/>
          <w:sz w:val="24"/>
          <w:szCs w:val="24"/>
          <w:rtl/>
          <w:lang w:bidi="ar-EG"/>
        </w:rPr>
        <w:t>.</w:t>
      </w:r>
    </w:p>
  </w:footnote>
  <w:footnote w:id="3">
    <w:p w:rsidR="006D649C" w:rsidRPr="001D3848" w:rsidRDefault="00257B65" w:rsidP="00257B65">
      <w:pPr>
        <w:pStyle w:val="a3"/>
        <w:jc w:val="both"/>
        <w:rPr>
          <w:rFonts w:cs="Traditional Arabic"/>
          <w:sz w:val="24"/>
          <w:szCs w:val="24"/>
          <w:lang w:bidi="ar-EG"/>
        </w:rPr>
      </w:pPr>
      <w:r>
        <w:rPr>
          <w:rFonts w:cs="Traditional Arabic" w:hint="cs"/>
          <w:sz w:val="24"/>
          <w:szCs w:val="24"/>
          <w:rtl/>
        </w:rPr>
        <w:t>(</w:t>
      </w:r>
      <w:r w:rsidRPr="001D3848">
        <w:rPr>
          <w:rStyle w:val="a4"/>
          <w:rFonts w:cs="Traditional Arabic"/>
          <w:sz w:val="24"/>
          <w:szCs w:val="24"/>
          <w:vertAlign w:val="baseline"/>
        </w:rPr>
        <w:footnoteRef/>
      </w:r>
      <w:r>
        <w:rPr>
          <w:rFonts w:cs="Traditional Arabic" w:hint="cs"/>
          <w:sz w:val="24"/>
          <w:szCs w:val="24"/>
          <w:rtl/>
        </w:rPr>
        <w:t>)</w:t>
      </w:r>
      <w:r w:rsidR="006D649C" w:rsidRPr="001D3848">
        <w:rPr>
          <w:rFonts w:cs="Traditional Arabic"/>
          <w:sz w:val="24"/>
          <w:szCs w:val="24"/>
          <w:rtl/>
        </w:rPr>
        <w:t xml:space="preserve"> </w:t>
      </w:r>
      <w:r w:rsidR="006D649C" w:rsidRPr="001D3848">
        <w:rPr>
          <w:rFonts w:cs="Traditional Arabic" w:hint="cs"/>
          <w:sz w:val="24"/>
          <w:szCs w:val="24"/>
          <w:rtl/>
          <w:lang w:bidi="ar-EG"/>
        </w:rPr>
        <w:t>كشف الشبهات</w:t>
      </w:r>
      <w:r>
        <w:rPr>
          <w:rFonts w:cs="Traditional Arabic" w:hint="cs"/>
          <w:sz w:val="24"/>
          <w:szCs w:val="24"/>
          <w:rtl/>
          <w:lang w:bidi="ar-EG"/>
        </w:rPr>
        <w:t>،</w:t>
      </w:r>
      <w:r w:rsidR="006D649C" w:rsidRPr="001D3848">
        <w:rPr>
          <w:rFonts w:cs="Traditional Arabic" w:hint="cs"/>
          <w:sz w:val="24"/>
          <w:szCs w:val="24"/>
          <w:rtl/>
          <w:lang w:bidi="ar-EG"/>
        </w:rPr>
        <w:t xml:space="preserve"> (مع شرح الشيخ ابن عثيمين)، ص</w:t>
      </w:r>
      <w:r>
        <w:rPr>
          <w:rFonts w:cs="Traditional Arabic" w:hint="cs"/>
          <w:sz w:val="24"/>
          <w:szCs w:val="24"/>
          <w:rtl/>
          <w:lang w:bidi="ar-EG"/>
        </w:rPr>
        <w:t>(</w:t>
      </w:r>
      <w:r w:rsidR="006D649C" w:rsidRPr="001D3848">
        <w:rPr>
          <w:rFonts w:cs="Traditional Arabic" w:hint="cs"/>
          <w:sz w:val="24"/>
          <w:szCs w:val="24"/>
          <w:rtl/>
          <w:lang w:bidi="ar-EG"/>
        </w:rPr>
        <w:t>130</w:t>
      </w:r>
      <w:r>
        <w:rPr>
          <w:rFonts w:cs="Traditional Arabic" w:hint="cs"/>
          <w:sz w:val="24"/>
          <w:szCs w:val="24"/>
          <w:rtl/>
          <w:lang w:bidi="ar-EG"/>
        </w:rPr>
        <w:t>)</w:t>
      </w:r>
      <w:r w:rsidR="006D649C" w:rsidRPr="001D3848">
        <w:rPr>
          <w:rFonts w:cs="Traditional Arabic" w:hint="cs"/>
          <w:sz w:val="24"/>
          <w:szCs w:val="24"/>
          <w:rtl/>
          <w:lang w:bidi="ar-EG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B36FCE"/>
    <w:multiLevelType w:val="hybridMultilevel"/>
    <w:tmpl w:val="02108766"/>
    <w:lvl w:ilvl="0" w:tplc="794615D6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49C"/>
    <w:rsid w:val="001D3848"/>
    <w:rsid w:val="002078CA"/>
    <w:rsid w:val="00257B65"/>
    <w:rsid w:val="003F6535"/>
    <w:rsid w:val="005A7F30"/>
    <w:rsid w:val="006D649C"/>
    <w:rsid w:val="00A01EA9"/>
    <w:rsid w:val="00AC60FD"/>
    <w:rsid w:val="00E13CDF"/>
    <w:rsid w:val="00EC40A9"/>
    <w:rsid w:val="00F20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000C094-4A79-4933-8100-87BB55D5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49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6D649C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6D649C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6D649C"/>
    <w:rPr>
      <w:vertAlign w:val="superscript"/>
    </w:rPr>
  </w:style>
  <w:style w:type="paragraph" w:styleId="a5">
    <w:name w:val="List Paragraph"/>
    <w:basedOn w:val="a"/>
    <w:uiPriority w:val="34"/>
    <w:qFormat/>
    <w:rsid w:val="006D649C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25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257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ayman mesbah</cp:lastModifiedBy>
  <cp:revision>5</cp:revision>
  <dcterms:created xsi:type="dcterms:W3CDTF">2016-03-01T13:16:00Z</dcterms:created>
  <dcterms:modified xsi:type="dcterms:W3CDTF">2016-06-22T21:34:00Z</dcterms:modified>
</cp:coreProperties>
</file>