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2F" w:rsidRPr="00A06233" w:rsidRDefault="00711A2F" w:rsidP="00A06233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A0623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قياس الذبح والنذر لغير الله على جواز إهداء الثواب للميت</w:t>
      </w:r>
    </w:p>
    <w:p w:rsidR="008F63A7" w:rsidRPr="00A06233" w:rsidRDefault="008F63A7" w:rsidP="00A0623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يستدل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المبتدعة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تجوز الذبح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والنذر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مثل إهداء الثواب، وهم بذلك يحملون كل ما يقع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ذبح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ونذر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على معنى إهداء ثواب ذلك إلى الميت، شأن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 شأن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الوقف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ي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وقف له، والصدقة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التي تجري له، ويقولون: وإن كان الناذر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يقول: (نذرت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لفلان، وذبحت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لفلان)، فإن في قوله مجازًا، ومراد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ه: أني نذرت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، وذبحت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على أن يكون ثوابه </w:t>
      </w:r>
      <w:proofErr w:type="gramStart"/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لفلان</w:t>
      </w:r>
      <w:r w:rsidR="00711A2F"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A0623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711A2F"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F63A7" w:rsidRPr="00A06233" w:rsidRDefault="008F63A7" w:rsidP="00715ED8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ويستدلون لذلك بفعل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النبي </w:t>
      </w:r>
      <w:r w:rsidR="00715E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حين ذبح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نفس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 وعن أهل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بيته وعن </w:t>
      </w:r>
      <w:proofErr w:type="gramStart"/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أمته</w:t>
      </w:r>
      <w:r w:rsidR="00711A2F"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A0623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711A2F"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وكذلك ما ورد عن سعد بن عباده </w:t>
      </w:r>
      <w:r w:rsidR="00715E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قال: يا رسول الله إن أ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م سعد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ماتت فأي الصدقة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أفضل؟ قال: </w:t>
      </w:r>
      <w:r w:rsidR="00711A2F" w:rsidRPr="00A06233">
        <w:rPr>
          <w:rFonts w:ascii="Traditional Arabic" w:hAnsi="Traditional Arabic" w:cs="Traditional Arabic"/>
          <w:color w:val="002060"/>
          <w:sz w:val="32"/>
          <w:szCs w:val="32"/>
          <w:lang w:bidi="ar-EG"/>
        </w:rPr>
        <w:t>&gt;&gt;</w:t>
      </w:r>
      <w:r w:rsidRPr="00A06233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>الماء</w:t>
      </w:r>
      <w:bookmarkStart w:id="0" w:name="_GoBack"/>
      <w:bookmarkEnd w:id="0"/>
      <w:r w:rsidR="00711A2F" w:rsidRPr="00A06233">
        <w:rPr>
          <w:rFonts w:ascii="Traditional Arabic" w:hAnsi="Traditional Arabic" w:cs="Traditional Arabic"/>
          <w:color w:val="002060"/>
          <w:sz w:val="32"/>
          <w:szCs w:val="32"/>
          <w:lang w:bidi="ar-EG"/>
        </w:rPr>
        <w:t>&lt;&lt;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A06233">
        <w:rPr>
          <w:rFonts w:ascii="Traditional Arabic" w:hAnsi="Traditional Arabic" w:cs="Traditional Arabic"/>
          <w:color w:val="002060"/>
          <w:sz w:val="32"/>
          <w:szCs w:val="32"/>
          <w:rtl/>
          <w:lang w:bidi="ar-EG"/>
        </w:rPr>
        <w:t xml:space="preserve">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قال: فح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بئرًا، وقال: هذه لأم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سعد</w:t>
      </w:r>
      <w:r w:rsidR="00711A2F"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711A2F" w:rsidRPr="00A06233">
        <w:rPr>
          <w:rStyle w:val="a5"/>
          <w:rFonts w:ascii="Traditional Arabic" w:hAnsi="Traditional Arabic" w:cs="Traditional Arabic"/>
          <w:sz w:val="32"/>
          <w:szCs w:val="32"/>
          <w:lang w:bidi="ar-EG"/>
        </w:rPr>
        <w:footnoteReference w:id="3"/>
      </w:r>
      <w:r w:rsidR="00711A2F"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711A2F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F63A7" w:rsidRPr="00A06233" w:rsidRDefault="008F63A7" w:rsidP="00A0623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A0623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711A2F" w:rsidRPr="00A06233" w:rsidRDefault="00711A2F" w:rsidP="00A0623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0623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هناك فارق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بين من ينذر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للميت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ويذبح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له، وهو متعلق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القلب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به، ناظر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إليه في تحصيل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مطلوبه أو دفع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مكروب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ه، وبين من يهدي للميت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ثوابًا وهو ينظر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محسن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إليه، متقرب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الله تعالى بوصله له.</w:t>
      </w:r>
    </w:p>
    <w:p w:rsidR="00711A2F" w:rsidRPr="00A06233" w:rsidRDefault="00711A2F" w:rsidP="00715ED8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0623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قياس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جواز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الذبح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بإهداء الثواب للميت، وإجراء الصدقة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قياس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مع الفارق، فالذي يوق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لميت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 وقفًا، أو يتصدق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بأي صدقة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يرجو له فيها الثواب من عند رب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</w:t>
      </w:r>
      <w:r w:rsidR="00715E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سبحانه وتعالى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، هل تراه يترقب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بفؤاد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 أن الميت يدفع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شدة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ناز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ة به؟ كلا بل هو ناظر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نفع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 في آخرته.</w:t>
      </w:r>
    </w:p>
    <w:p w:rsidR="00711A2F" w:rsidRPr="00A06233" w:rsidRDefault="00711A2F" w:rsidP="00715ED8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A0623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أما استدلال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هم بقول سعد بن عباده </w:t>
      </w:r>
      <w:r w:rsidR="00715ED8">
        <w:rPr>
          <w:rFonts w:ascii="Traditional Arabic" w:hAnsi="Traditional Arabic" w:cs="Traditional Arabic" w:hint="cs"/>
          <w:sz w:val="32"/>
          <w:szCs w:val="32"/>
          <w:rtl/>
        </w:rPr>
        <w:t>رضي الله عنه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من أفضل القربات، ولكن هل ي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</w:t>
      </w:r>
      <w:proofErr w:type="gramStart"/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أن</w:t>
      </w:r>
      <w:proofErr w:type="gramEnd"/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سعد </w:t>
      </w:r>
      <w:r w:rsidR="00715E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أراد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بذلك التقرب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لوالدت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ه، أو رغب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إليها في تحقيق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مطلوب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ودفع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مكروب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؟ فهذا قياس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خاطئ.</w:t>
      </w:r>
    </w:p>
    <w:p w:rsidR="00ED5BCD" w:rsidRPr="00A06233" w:rsidRDefault="00711A2F" w:rsidP="00A06233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</w:rPr>
      </w:pPr>
      <w:r w:rsidRPr="00A0623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يقول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الشيخ محمود الألوسي </w:t>
      </w:r>
      <w:proofErr w:type="gramStart"/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(لا يخفى أنهم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المبتدعة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دعواهم الأولى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أي: النذر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للميت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نفس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رغبًا ورهبًا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أشبه الناس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بعبدة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الأصنام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القائلين إنما نعبدهم ليقربونا إلى الله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 xml:space="preserve">زلفى، ودعواهم الثانية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إهداء الثواب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للميت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بأس بها لو لم يطلبوا منهم بذلك شفاء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مريض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هم، أو رد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غائب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هم أو نحو</w:t>
      </w:r>
      <w:r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</w:t>
      </w:r>
      <w:r w:rsidRPr="00A06233">
        <w:rPr>
          <w:rFonts w:ascii="Traditional Arabic" w:hAnsi="Traditional Arabic" w:cs="Traditional Arabic"/>
          <w:sz w:val="32"/>
          <w:szCs w:val="32"/>
          <w:lang w:bidi="ar-EG"/>
        </w:rPr>
        <w:t>&lt;</w:t>
      </w:r>
      <w:r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8F63A7" w:rsidRPr="00A0623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A0623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8F63A7" w:rsidRPr="00A0623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ED5BCD" w:rsidRPr="00A06233" w:rsidSect="00715ED8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AD" w:rsidRDefault="00484AAD" w:rsidP="008F63A7">
      <w:pPr>
        <w:spacing w:after="0" w:line="240" w:lineRule="auto"/>
      </w:pPr>
      <w:r>
        <w:separator/>
      </w:r>
    </w:p>
  </w:endnote>
  <w:endnote w:type="continuationSeparator" w:id="0">
    <w:p w:rsidR="00484AAD" w:rsidRDefault="00484AAD" w:rsidP="008F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AD" w:rsidRDefault="00484AAD" w:rsidP="008F63A7">
      <w:pPr>
        <w:spacing w:after="0" w:line="240" w:lineRule="auto"/>
      </w:pPr>
      <w:r>
        <w:separator/>
      </w:r>
    </w:p>
  </w:footnote>
  <w:footnote w:type="continuationSeparator" w:id="0">
    <w:p w:rsidR="00484AAD" w:rsidRDefault="00484AAD" w:rsidP="008F63A7">
      <w:pPr>
        <w:spacing w:after="0" w:line="240" w:lineRule="auto"/>
      </w:pPr>
      <w:r>
        <w:continuationSeparator/>
      </w:r>
    </w:p>
  </w:footnote>
  <w:footnote w:id="1">
    <w:p w:rsidR="008F63A7" w:rsidRPr="00A06233" w:rsidRDefault="00711A2F" w:rsidP="00711A2F">
      <w:pPr>
        <w:pStyle w:val="a4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A0623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A06233">
        <w:rPr>
          <w:rFonts w:ascii="Traditional Arabic" w:hAnsi="Traditional Arabic" w:cs="Traditional Arabic"/>
          <w:sz w:val="28"/>
          <w:szCs w:val="28"/>
          <w:rtl/>
        </w:rPr>
        <w:t>)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الردود الشاملة لمحمد إبراهيم سالم، 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243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 الوهابية في الميزان لجعفر السبحاني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131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الوهابية دعاوي وردود لنجم الدين الطبسي، 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198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2">
    <w:p w:rsidR="008F63A7" w:rsidRPr="00A06233" w:rsidRDefault="00711A2F" w:rsidP="00715ED8">
      <w:pPr>
        <w:pStyle w:val="a4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A0623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A06233">
        <w:rPr>
          <w:rFonts w:ascii="Traditional Arabic" w:hAnsi="Traditional Arabic" w:cs="Traditional Arabic"/>
          <w:sz w:val="28"/>
          <w:szCs w:val="28"/>
          <w:rtl/>
        </w:rPr>
        <w:t>)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كما في حديث جابر </w:t>
      </w:r>
      <w:r w:rsidR="00715ED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رضي الله عنه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قال: </w:t>
      </w:r>
      <w:r w:rsidRPr="00A06233">
        <w:rPr>
          <w:rFonts w:ascii="Traditional Arabic" w:hAnsi="Traditional Arabic" w:cs="Traditional Arabic"/>
          <w:sz w:val="28"/>
          <w:szCs w:val="28"/>
          <w:lang w:bidi="ar-EG"/>
        </w:rPr>
        <w:t>&gt;&gt;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شهدت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ُ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مع رسول الله </w:t>
      </w:r>
      <w:r w:rsidR="00715ED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صلى الله عليه وسلم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الأضحى بالمصلى، فلما قضى خطبته نزل من منبره وأتى بكبش فذبحه رسول الله </w:t>
      </w:r>
      <w:r w:rsidR="00715ED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صلى الله عليه وسلم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بيده وقال: </w:t>
      </w:r>
      <w:r w:rsidR="008F63A7" w:rsidRPr="00A06233">
        <w:rPr>
          <w:rFonts w:ascii="Traditional Arabic" w:hAnsi="Traditional Arabic" w:cs="Traditional Arabic"/>
          <w:color w:val="002060"/>
          <w:sz w:val="28"/>
          <w:szCs w:val="28"/>
          <w:rtl/>
          <w:lang w:bidi="ar-EG"/>
        </w:rPr>
        <w:t>بسم الله والله أكبر هذا عني وعمن لم يضح من أمتي</w:t>
      </w:r>
      <w:r w:rsidRPr="00A06233">
        <w:rPr>
          <w:rFonts w:ascii="Traditional Arabic" w:hAnsi="Traditional Arabic" w:cs="Traditional Arabic"/>
          <w:sz w:val="28"/>
          <w:szCs w:val="28"/>
          <w:lang w:bidi="ar-EG"/>
        </w:rPr>
        <w:t>&lt;&lt;</w:t>
      </w:r>
      <w:r w:rsidR="008F63A7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8F63A7" w:rsidRPr="00A06233" w:rsidRDefault="008F63A7" w:rsidP="00715ED8">
      <w:pPr>
        <w:pStyle w:val="a4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رواه أبو داود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كتاب 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الضحايا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باب في الشاة يضحي بها عن جماعة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2810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)، والترمذي، كتاب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الأضاحي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باب العقيقة بشاة،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1521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 وابن ماجه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كتاب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الأضاحي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باب أضاحي رسول الله </w:t>
      </w:r>
      <w:r w:rsidR="00715ED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صلى الله عليه وسلم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3121</w:t>
      </w:r>
      <w:r w:rsidR="00711A2F"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)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</w:footnote>
  <w:footnote w:id="3">
    <w:p w:rsidR="00711A2F" w:rsidRPr="00A06233" w:rsidRDefault="00711A2F" w:rsidP="00711A2F">
      <w:pPr>
        <w:pStyle w:val="a4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A0623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A06233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A06233">
        <w:rPr>
          <w:rFonts w:ascii="Traditional Arabic" w:hAnsi="Traditional Arabic" w:cs="Traditional Arabic"/>
          <w:sz w:val="28"/>
          <w:szCs w:val="28"/>
          <w:rtl/>
          <w:lang w:bidi="ar-EG"/>
        </w:rPr>
        <w:t>رواه أبو داود، كتاب الزكاة، باب في فضل سقي الماء، (1681).</w:t>
      </w:r>
    </w:p>
  </w:footnote>
  <w:footnote w:id="4">
    <w:p w:rsidR="008F63A7" w:rsidRPr="00A06233" w:rsidRDefault="00711A2F" w:rsidP="00711A2F">
      <w:pPr>
        <w:pStyle w:val="a4"/>
        <w:jc w:val="both"/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</w:pPr>
      <w:r w:rsidRPr="00A0623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A06233">
        <w:rPr>
          <w:rFonts w:ascii="Traditional Arabic" w:hAnsi="Traditional Arabic" w:cs="Traditional Arabic"/>
          <w:sz w:val="28"/>
          <w:szCs w:val="28"/>
          <w:rtl/>
        </w:rPr>
        <w:t>)</w:t>
      </w:r>
      <w:r w:rsidR="008F63A7"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  <w:rtl/>
        </w:rPr>
        <w:t xml:space="preserve"> روح المعاني، </w:t>
      </w:r>
      <w:r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  <w:rtl/>
        </w:rPr>
        <w:t>(</w:t>
      </w:r>
      <w:r w:rsidR="008F63A7"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  <w:rtl/>
        </w:rPr>
        <w:t>18/12</w:t>
      </w:r>
      <w:r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  <w:rtl/>
        </w:rPr>
        <w:t>)</w:t>
      </w:r>
      <w:r w:rsidR="008F63A7" w:rsidRPr="00A06233">
        <w:rPr>
          <w:rStyle w:val="a5"/>
          <w:rFonts w:ascii="Traditional Arabic" w:hAnsi="Traditional Arabic" w:cs="Traditional Arabic"/>
          <w:sz w:val="28"/>
          <w:szCs w:val="28"/>
          <w:vertAlign w:val="baseline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3CA"/>
    <w:multiLevelType w:val="hybridMultilevel"/>
    <w:tmpl w:val="05FCD3AA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3A7"/>
    <w:rsid w:val="002078CA"/>
    <w:rsid w:val="00484AAD"/>
    <w:rsid w:val="00711A2F"/>
    <w:rsid w:val="00715ED8"/>
    <w:rsid w:val="008F63A7"/>
    <w:rsid w:val="00A06233"/>
    <w:rsid w:val="00C23944"/>
    <w:rsid w:val="00C85C17"/>
    <w:rsid w:val="00ED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382B40-AD67-4A2F-9AEC-751A5AA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A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F63A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F63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6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5</cp:revision>
  <dcterms:created xsi:type="dcterms:W3CDTF">2016-03-01T13:23:00Z</dcterms:created>
  <dcterms:modified xsi:type="dcterms:W3CDTF">2016-06-06T16:36:00Z</dcterms:modified>
</cp:coreProperties>
</file>