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E2" w:rsidRPr="00B9573D" w:rsidRDefault="004031E2" w:rsidP="00B9573D">
      <w:pPr>
        <w:widowControl w:val="0"/>
        <w:spacing w:before="120" w:after="160" w:line="240" w:lineRule="auto"/>
        <w:ind w:firstLine="227"/>
        <w:jc w:val="center"/>
        <w:rPr>
          <w:rFonts w:ascii="Traditional Arabic" w:hAnsi="Traditional Arabic"/>
          <w:b/>
          <w:bCs/>
          <w:rtl/>
        </w:rPr>
      </w:pPr>
      <w:r w:rsidRPr="00B9573D">
        <w:rPr>
          <w:rFonts w:ascii="Traditional Arabic" w:hAnsi="Traditional Arabic"/>
          <w:b/>
          <w:bCs/>
          <w:rtl/>
        </w:rPr>
        <w:t>هل يُعذر المبتدعة بجهلهم؟</w:t>
      </w:r>
    </w:p>
    <w:p w:rsidR="00F5395D" w:rsidRPr="00B9573D" w:rsidRDefault="00F5395D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  <w:rtl/>
        </w:rPr>
      </w:pPr>
      <w:r w:rsidRPr="00B9573D">
        <w:rPr>
          <w:rFonts w:ascii="Traditional Arabic" w:hAnsi="Traditional Arabic"/>
          <w:rtl/>
        </w:rPr>
        <w:t>يستدل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المبتدعة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على أن</w:t>
      </w:r>
      <w:r w:rsidR="008C0DE3" w:rsidRPr="00B9573D">
        <w:rPr>
          <w:rFonts w:ascii="Traditional Arabic" w:hAnsi="Traditional Arabic"/>
          <w:rtl/>
        </w:rPr>
        <w:t xml:space="preserve"> أعمال</w:t>
      </w:r>
      <w:r w:rsidR="009A3874"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</w:t>
      </w:r>
      <w:r w:rsidRPr="00B9573D">
        <w:rPr>
          <w:rFonts w:ascii="Traditional Arabic" w:hAnsi="Traditional Arabic"/>
          <w:rtl/>
        </w:rPr>
        <w:t>الجه</w:t>
      </w:r>
      <w:r w:rsidR="009A3874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>ال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من المبتدعة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شرك</w:t>
      </w:r>
      <w:r w:rsidR="009A3874" w:rsidRPr="00B9573D">
        <w:rPr>
          <w:rFonts w:ascii="Traditional Arabic" w:hAnsi="Traditional Arabic"/>
          <w:rtl/>
        </w:rPr>
        <w:t xml:space="preserve">ٌ </w:t>
      </w:r>
      <w:r w:rsidR="008C0DE3" w:rsidRPr="00B9573D">
        <w:rPr>
          <w:rFonts w:ascii="Traditional Arabic" w:hAnsi="Traditional Arabic"/>
          <w:rtl/>
        </w:rPr>
        <w:t>وكفر، ولكنهم لا يعلمون</w:t>
      </w:r>
      <w:r w:rsidR="009A3874"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أن ما يفعلونه شرك</w:t>
      </w:r>
      <w:r w:rsidR="009A3874" w:rsidRPr="00B9573D">
        <w:rPr>
          <w:rFonts w:ascii="Traditional Arabic" w:hAnsi="Traditional Arabic"/>
          <w:rtl/>
        </w:rPr>
        <w:t>،</w:t>
      </w:r>
      <w:r w:rsidR="008C0DE3" w:rsidRPr="00B9573D">
        <w:rPr>
          <w:rFonts w:ascii="Traditional Arabic" w:hAnsi="Traditional Arabic"/>
          <w:rtl/>
        </w:rPr>
        <w:t xml:space="preserve"> بل لو ع</w:t>
      </w:r>
      <w:r w:rsidR="009A3874"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ر</w:t>
      </w:r>
      <w:r w:rsidR="009A3874"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ض</w:t>
      </w:r>
      <w:r w:rsidR="009A3874"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أحد</w:t>
      </w:r>
      <w:r w:rsidR="009A3874"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هم على السيف لم يقر بأنه شرك</w:t>
      </w:r>
      <w:r w:rsidR="009A3874" w:rsidRPr="00B9573D">
        <w:rPr>
          <w:rFonts w:ascii="Traditional Arabic" w:hAnsi="Traditional Arabic"/>
          <w:rtl/>
        </w:rPr>
        <w:t>ٌ</w:t>
      </w:r>
      <w:r w:rsidR="008C0DE3" w:rsidRPr="00B9573D">
        <w:rPr>
          <w:rFonts w:ascii="Traditional Arabic" w:hAnsi="Traditional Arabic"/>
          <w:rtl/>
        </w:rPr>
        <w:t xml:space="preserve"> بالله</w:t>
      </w:r>
      <w:r w:rsidR="009A3874"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تعالى ولا فاعل</w:t>
      </w:r>
      <w:r w:rsidR="009A3874" w:rsidRPr="00B9573D">
        <w:rPr>
          <w:rFonts w:ascii="Traditional Arabic" w:hAnsi="Traditional Arabic"/>
          <w:rtl/>
        </w:rPr>
        <w:t>ٌ</w:t>
      </w:r>
      <w:r w:rsidR="008C0DE3" w:rsidRPr="00B9573D">
        <w:rPr>
          <w:rFonts w:ascii="Traditional Arabic" w:hAnsi="Traditional Arabic"/>
          <w:rtl/>
        </w:rPr>
        <w:t xml:space="preserve"> لما هو شرك، بل لو علم أن ذلك شرك لم </w:t>
      </w:r>
      <w:proofErr w:type="gramStart"/>
      <w:r w:rsidR="008C0DE3" w:rsidRPr="00B9573D">
        <w:rPr>
          <w:rFonts w:ascii="Traditional Arabic" w:hAnsi="Traditional Arabic"/>
          <w:rtl/>
        </w:rPr>
        <w:t>يفعله</w:t>
      </w:r>
      <w:r w:rsidR="009A3874" w:rsidRPr="00B9573D">
        <w:rPr>
          <w:rFonts w:ascii="Traditional Arabic" w:hAnsi="Traditional Arabic"/>
          <w:vertAlign w:val="superscript"/>
          <w:rtl/>
        </w:rPr>
        <w:t>(</w:t>
      </w:r>
      <w:proofErr w:type="gramEnd"/>
      <w:r w:rsidR="009A3874" w:rsidRPr="00B9573D">
        <w:rPr>
          <w:rFonts w:ascii="Traditional Arabic" w:hAnsi="Traditional Arabic"/>
          <w:vertAlign w:val="superscript"/>
          <w:rtl/>
        </w:rPr>
        <w:footnoteReference w:id="1"/>
      </w:r>
      <w:r w:rsidR="009A3874" w:rsidRPr="00B9573D">
        <w:rPr>
          <w:rFonts w:ascii="Traditional Arabic" w:hAnsi="Traditional Arabic"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 xml:space="preserve">. </w:t>
      </w:r>
    </w:p>
    <w:p w:rsidR="008C0DE3" w:rsidRPr="00B9573D" w:rsidRDefault="00F5395D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  <w:b/>
          <w:bCs/>
          <w:color w:val="FF0000"/>
          <w:u w:val="single"/>
          <w:rtl/>
        </w:rPr>
      </w:pPr>
      <w:r w:rsidRPr="00B9573D">
        <w:rPr>
          <w:rFonts w:ascii="Traditional Arabic" w:hAnsi="Traditional Arabic"/>
          <w:b/>
          <w:bCs/>
          <w:color w:val="FF0000"/>
          <w:u w:val="single"/>
          <w:rtl/>
        </w:rPr>
        <w:t>الرد</w:t>
      </w:r>
      <w:r w:rsidR="008C0DE3" w:rsidRPr="00B9573D">
        <w:rPr>
          <w:rFonts w:ascii="Traditional Arabic" w:hAnsi="Traditional Arabic"/>
          <w:b/>
          <w:bCs/>
          <w:color w:val="FF0000"/>
          <w:u w:val="single"/>
          <w:rtl/>
        </w:rPr>
        <w:t xml:space="preserve">: </w:t>
      </w:r>
    </w:p>
    <w:p w:rsidR="008C0DE3" w:rsidRPr="00B9573D" w:rsidRDefault="009A3874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b/>
          <w:bCs/>
          <w:u w:val="single"/>
          <w:rtl/>
        </w:rPr>
        <w:t>أولًا: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إن الحكم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بالكفر</w:t>
      </w:r>
      <w:r w:rsidRPr="00B9573D">
        <w:rPr>
          <w:rFonts w:ascii="Traditional Arabic" w:hAnsi="Traditional Arabic"/>
          <w:rtl/>
        </w:rPr>
        <w:t>ِ -</w:t>
      </w:r>
      <w:r w:rsidR="008C0DE3" w:rsidRPr="00B9573D">
        <w:rPr>
          <w:rFonts w:ascii="Traditional Arabic" w:hAnsi="Traditional Arabic"/>
          <w:rtl/>
        </w:rPr>
        <w:t xml:space="preserve"> والعياذ بالله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- 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شت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رط فيه أن يعلم متلبس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ه أنه كفر، فقد ذكر الشوكاني أنه تقرر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في باب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الردة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أنه 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عتبر في ثبوت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ها العلم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بأن ما فعل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ه ك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فر</w:t>
      </w:r>
      <w:r w:rsidRPr="00B9573D">
        <w:rPr>
          <w:rFonts w:ascii="Traditional Arabic" w:hAnsi="Traditional Arabic"/>
          <w:rtl/>
        </w:rPr>
        <w:t>ٌ،</w:t>
      </w:r>
      <w:r w:rsidR="008C0DE3" w:rsidRPr="00B9573D">
        <w:rPr>
          <w:rFonts w:ascii="Traditional Arabic" w:hAnsi="Traditional Arabic"/>
          <w:rtl/>
        </w:rPr>
        <w:t xml:space="preserve"> ثم قال: </w:t>
      </w:r>
      <w:r w:rsidR="00C21032" w:rsidRPr="00B9573D">
        <w:rPr>
          <w:rFonts w:ascii="Traditional Arabic" w:hAnsi="Traditional Arabic"/>
          <w:rtl/>
        </w:rPr>
        <w:t>«</w:t>
      </w:r>
      <w:r w:rsidR="008C0DE3" w:rsidRPr="00B9573D">
        <w:rPr>
          <w:rFonts w:ascii="Traditional Arabic" w:hAnsi="Traditional Arabic"/>
          <w:rtl/>
        </w:rPr>
        <w:t>وعلى كل</w:t>
      </w:r>
      <w:r w:rsidRPr="00B9573D">
        <w:rPr>
          <w:rFonts w:ascii="Traditional Arabic" w:hAnsi="Traditional Arabic"/>
          <w:rtl/>
        </w:rPr>
        <w:t>ِّ</w:t>
      </w:r>
      <w:r w:rsidR="008C0DE3" w:rsidRPr="00B9573D">
        <w:rPr>
          <w:rFonts w:ascii="Traditional Arabic" w:hAnsi="Traditional Arabic"/>
          <w:rtl/>
        </w:rPr>
        <w:t xml:space="preserve"> حال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 xml:space="preserve"> فالواجب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على من اطلع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على شيء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 xml:space="preserve"> من هذه الأمور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الشركيات التي اتصف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بها القبوريون أن يبلغهم الحجة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الشرعية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، ويخبرهم بأن هذا هو عين ما يفعله المشركون في الجاهلية</w:t>
      </w:r>
      <w:r w:rsidRPr="00B9573D">
        <w:rPr>
          <w:rFonts w:ascii="Traditional Arabic" w:hAnsi="Traditional Arabic"/>
          <w:rtl/>
        </w:rPr>
        <w:t>ِ،</w:t>
      </w:r>
      <w:r w:rsidR="008C0DE3" w:rsidRPr="00B9573D">
        <w:rPr>
          <w:rFonts w:ascii="Traditional Arabic" w:hAnsi="Traditional Arabic"/>
          <w:rtl/>
        </w:rPr>
        <w:t xml:space="preserve"> فإذا علموا بهذا علم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لا يبقى معه شك</w:t>
      </w:r>
      <w:r w:rsidRPr="00B9573D">
        <w:rPr>
          <w:rFonts w:ascii="Traditional Arabic" w:hAnsi="Traditional Arabic"/>
          <w:rtl/>
        </w:rPr>
        <w:t>ٌّ</w:t>
      </w:r>
      <w:r w:rsidR="008C0DE3" w:rsidRPr="00B9573D">
        <w:rPr>
          <w:rFonts w:ascii="Traditional Arabic" w:hAnsi="Traditional Arabic"/>
          <w:rtl/>
        </w:rPr>
        <w:t xml:space="preserve"> ولا شبهة</w:t>
      </w:r>
      <w:r w:rsidRPr="00B9573D">
        <w:rPr>
          <w:rFonts w:ascii="Traditional Arabic" w:hAnsi="Traditional Arabic"/>
          <w:rtl/>
        </w:rPr>
        <w:t>ٌ</w:t>
      </w:r>
      <w:r w:rsidR="008C0DE3" w:rsidRPr="00B9573D">
        <w:rPr>
          <w:rFonts w:ascii="Traditional Arabic" w:hAnsi="Traditional Arabic"/>
          <w:rtl/>
        </w:rPr>
        <w:t xml:space="preserve"> ثم أصروا على ما هم فيه، أخبرهم بأنهم إن لم يتوبوا فقد حل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>ت دماؤهم وأموال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هم وانطبق عليهم حكم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المشركين</w:t>
      </w:r>
      <w:r w:rsidR="00C21032" w:rsidRPr="00B9573D">
        <w:rPr>
          <w:rFonts w:ascii="Traditional Arabic" w:hAnsi="Traditional Arabic"/>
          <w:rtl/>
        </w:rPr>
        <w:t>»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(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footnoteReference w:id="2"/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>.</w:t>
      </w:r>
    </w:p>
    <w:p w:rsidR="008C0DE3" w:rsidRPr="00B9573D" w:rsidRDefault="009A3874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b/>
          <w:bCs/>
          <w:u w:val="single"/>
          <w:rtl/>
        </w:rPr>
        <w:t>ثانيًا: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والعلماء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صرح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وا بأن كلمة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الكفر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إذا تكل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>م بها العبد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عمد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وإن كانت بغير الاعتقاد</w:t>
      </w:r>
      <w:r w:rsidRPr="00B9573D">
        <w:rPr>
          <w:rFonts w:ascii="Traditional Arabic" w:hAnsi="Traditional Arabic"/>
          <w:rtl/>
        </w:rPr>
        <w:t>ِ –</w:t>
      </w:r>
      <w:r w:rsidR="008C0DE3" w:rsidRPr="00B9573D">
        <w:rPr>
          <w:rFonts w:ascii="Traditional Arabic" w:hAnsi="Traditional Arabic"/>
          <w:rtl/>
        </w:rPr>
        <w:t xml:space="preserve"> كفر</w:t>
      </w:r>
      <w:r w:rsidRPr="00B9573D">
        <w:rPr>
          <w:rFonts w:ascii="Traditional Arabic" w:hAnsi="Traditional Arabic"/>
          <w:rtl/>
        </w:rPr>
        <w:t xml:space="preserve"> </w:t>
      </w:r>
      <w:proofErr w:type="gramStart"/>
      <w:r w:rsidR="008C0DE3" w:rsidRPr="00B9573D">
        <w:rPr>
          <w:rFonts w:ascii="Traditional Arabic" w:hAnsi="Traditional Arabic"/>
          <w:rtl/>
        </w:rPr>
        <w:t>- وممن</w:t>
      </w:r>
      <w:proofErr w:type="gramEnd"/>
      <w:r w:rsidR="008C0DE3" w:rsidRPr="00B9573D">
        <w:rPr>
          <w:rFonts w:ascii="Traditional Arabic" w:hAnsi="Traditional Arabic"/>
          <w:rtl/>
        </w:rPr>
        <w:t xml:space="preserve"> صر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>ح بذلك علماء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الحنفية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، ففي أغلب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كتب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هم في أبواب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الردة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نصوا على ذلك</w:t>
      </w:r>
      <w:r w:rsidRPr="00B9573D">
        <w:rPr>
          <w:rFonts w:ascii="Traditional Arabic" w:hAnsi="Traditional Arabic"/>
          <w:rtl/>
        </w:rPr>
        <w:t>،</w:t>
      </w:r>
      <w:r w:rsidR="008C0DE3" w:rsidRPr="00B9573D">
        <w:rPr>
          <w:rFonts w:ascii="Traditional Arabic" w:hAnsi="Traditional Arabic"/>
          <w:rtl/>
        </w:rPr>
        <w:t xml:space="preserve"> وقالوا: 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عذر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بالجهل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، وقالوا: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إن ذلك هو الأصح عندهم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(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footnoteReference w:id="3"/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>، ومثل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الحنفية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علماء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المالكية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فقد صر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>ح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وا بأن الجهل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عذ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ر به عندهم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(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footnoteReference w:id="4"/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>، وذهب إلى ذلك بعض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علماء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الشافعية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فيما إذا تهاون بعدم تعل</w:t>
      </w:r>
      <w:r w:rsidRPr="00B9573D">
        <w:rPr>
          <w:rFonts w:ascii="Traditional Arabic" w:hAnsi="Traditional Arabic"/>
          <w:rtl/>
        </w:rPr>
        <w:t>ُّ</w:t>
      </w:r>
      <w:r w:rsidR="008C0DE3" w:rsidRPr="00B9573D">
        <w:rPr>
          <w:rFonts w:ascii="Traditional Arabic" w:hAnsi="Traditional Arabic"/>
          <w:rtl/>
        </w:rPr>
        <w:t>مه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(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footnoteReference w:id="5"/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>.</w:t>
      </w:r>
    </w:p>
    <w:p w:rsidR="008C0DE3" w:rsidRPr="00B9573D" w:rsidRDefault="008C0DE3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rtl/>
        </w:rPr>
        <w:t>قال الإمام القرافي المالكي بعد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أن ذكر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الأدعية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المحر</w:t>
      </w:r>
      <w:r w:rsidR="009A3874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>مة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أو المك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ف</w:t>
      </w:r>
      <w:r w:rsidR="009A3874" w:rsidRPr="00B9573D">
        <w:rPr>
          <w:rFonts w:ascii="Traditional Arabic" w:hAnsi="Traditional Arabic"/>
          <w:rtl/>
        </w:rPr>
        <w:t>ِّ</w:t>
      </w:r>
      <w:r w:rsidRPr="00B9573D">
        <w:rPr>
          <w:rFonts w:ascii="Traditional Arabic" w:hAnsi="Traditional Arabic"/>
          <w:rtl/>
        </w:rPr>
        <w:t xml:space="preserve">رة: </w:t>
      </w:r>
      <w:r w:rsidR="00C21032" w:rsidRPr="00B9573D">
        <w:rPr>
          <w:rFonts w:ascii="Traditional Arabic" w:hAnsi="Traditional Arabic"/>
          <w:rtl/>
        </w:rPr>
        <w:t>«</w:t>
      </w:r>
      <w:r w:rsidRPr="00B9573D">
        <w:rPr>
          <w:rFonts w:ascii="Traditional Arabic" w:hAnsi="Traditional Arabic"/>
          <w:rtl/>
        </w:rPr>
        <w:t>واعلم أن الجهل بما تؤدي إليه هذه الأدعية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ليس عذر</w:t>
      </w:r>
      <w:r w:rsidR="009A3874" w:rsidRPr="00B9573D">
        <w:rPr>
          <w:rFonts w:ascii="Traditional Arabic" w:hAnsi="Traditional Arabic"/>
          <w:rtl/>
        </w:rPr>
        <w:t>ًا</w:t>
      </w:r>
      <w:r w:rsidRPr="00B9573D">
        <w:rPr>
          <w:rFonts w:ascii="Traditional Arabic" w:hAnsi="Traditional Arabic"/>
          <w:rtl/>
        </w:rPr>
        <w:t xml:space="preserve"> عند الله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تعالى؛ لأن القاعدة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الشرعية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دل</w:t>
      </w:r>
      <w:r w:rsidR="009A3874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>ت على أن كل</w:t>
      </w:r>
      <w:r w:rsidR="009A3874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 xml:space="preserve"> ما يمكن المكلف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دفعه لا يكون حجة</w:t>
      </w:r>
      <w:r w:rsidR="009A3874" w:rsidRPr="00B9573D">
        <w:rPr>
          <w:rFonts w:ascii="Traditional Arabic" w:hAnsi="Traditional Arabic"/>
          <w:rtl/>
        </w:rPr>
        <w:t>ً</w:t>
      </w:r>
      <w:r w:rsidRPr="00B9573D">
        <w:rPr>
          <w:rFonts w:ascii="Traditional Arabic" w:hAnsi="Traditional Arabic"/>
          <w:rtl/>
        </w:rPr>
        <w:t xml:space="preserve"> للجاهل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على الله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>، فإن الله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تعالى بعث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رسل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ه إلى خلق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>ه برسالت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>ه وأوجب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عليهم كافة</w:t>
      </w:r>
      <w:r w:rsidR="009A3874" w:rsidRPr="00B9573D">
        <w:rPr>
          <w:rFonts w:ascii="Traditional Arabic" w:hAnsi="Traditional Arabic"/>
          <w:rtl/>
        </w:rPr>
        <w:t>ً</w:t>
      </w:r>
      <w:r w:rsidRPr="00B9573D">
        <w:rPr>
          <w:rFonts w:ascii="Traditional Arabic" w:hAnsi="Traditional Arabic"/>
          <w:rtl/>
        </w:rPr>
        <w:t xml:space="preserve"> أن يعملوا بها، فالعلم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والعمل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بها واجبان، فمن ترك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التعلم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والعمل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وبقي جاهل</w:t>
      </w:r>
      <w:r w:rsidR="009A3874" w:rsidRPr="00B9573D">
        <w:rPr>
          <w:rFonts w:ascii="Traditional Arabic" w:hAnsi="Traditional Arabic"/>
          <w:rtl/>
        </w:rPr>
        <w:t>ًا</w:t>
      </w:r>
      <w:r w:rsidRPr="00B9573D">
        <w:rPr>
          <w:rFonts w:ascii="Traditional Arabic" w:hAnsi="Traditional Arabic"/>
          <w:rtl/>
        </w:rPr>
        <w:t xml:space="preserve"> فقد عصى معصيتين لتركه واجبين، وإن ع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ل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>م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ولم ي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ع</w:t>
      </w:r>
      <w:r w:rsidR="009A3874" w:rsidRPr="00B9573D">
        <w:rPr>
          <w:rFonts w:ascii="Traditional Arabic" w:hAnsi="Traditional Arabic"/>
          <w:rtl/>
        </w:rPr>
        <w:t>ْ</w:t>
      </w:r>
      <w:r w:rsidRPr="00B9573D">
        <w:rPr>
          <w:rFonts w:ascii="Traditional Arabic" w:hAnsi="Traditional Arabic"/>
          <w:rtl/>
        </w:rPr>
        <w:t>م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ل فقد عصى معصية</w:t>
      </w:r>
      <w:r w:rsidR="009A3874" w:rsidRPr="00B9573D">
        <w:rPr>
          <w:rFonts w:ascii="Traditional Arabic" w:hAnsi="Traditional Arabic"/>
          <w:rtl/>
        </w:rPr>
        <w:t>ً</w:t>
      </w:r>
      <w:r w:rsidRPr="00B9573D">
        <w:rPr>
          <w:rFonts w:ascii="Traditional Arabic" w:hAnsi="Traditional Arabic"/>
          <w:rtl/>
        </w:rPr>
        <w:t xml:space="preserve"> واحدة</w:t>
      </w:r>
      <w:r w:rsidR="009A3874" w:rsidRPr="00B9573D">
        <w:rPr>
          <w:rFonts w:ascii="Traditional Arabic" w:hAnsi="Traditional Arabic"/>
          <w:rtl/>
        </w:rPr>
        <w:t>ً</w:t>
      </w:r>
      <w:r w:rsidRPr="00B9573D">
        <w:rPr>
          <w:rFonts w:ascii="Traditional Arabic" w:hAnsi="Traditional Arabic"/>
          <w:rtl/>
        </w:rPr>
        <w:t xml:space="preserve"> بترك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العمل.</w:t>
      </w:r>
    </w:p>
    <w:p w:rsidR="00D37A45" w:rsidRPr="00B9573D" w:rsidRDefault="008C0DE3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  <w:rtl/>
        </w:rPr>
      </w:pPr>
      <w:r w:rsidRPr="00B9573D">
        <w:rPr>
          <w:rFonts w:ascii="Traditional Arabic" w:hAnsi="Traditional Arabic"/>
          <w:rtl/>
        </w:rPr>
        <w:t>وأما الجهل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الذي يمكن رفع</w:t>
      </w:r>
      <w:r w:rsidR="009A3874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>ه لاسيما مع طول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الزمان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واستمرار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الأيام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والذي لا يعلم اليوم يعلم في غد، ولا يلزم من تأخير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ما يتوقف على هذا العلم</w:t>
      </w:r>
      <w:r w:rsidR="009A3874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فساد</w:t>
      </w:r>
      <w:r w:rsidR="009A3874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فلا يكون عذر</w:t>
      </w:r>
      <w:r w:rsidR="009A3874" w:rsidRPr="00B9573D">
        <w:rPr>
          <w:rFonts w:ascii="Traditional Arabic" w:hAnsi="Traditional Arabic"/>
          <w:rtl/>
        </w:rPr>
        <w:t>ًا</w:t>
      </w:r>
      <w:r w:rsidRPr="00B9573D">
        <w:rPr>
          <w:rFonts w:ascii="Traditional Arabic" w:hAnsi="Traditional Arabic"/>
          <w:rtl/>
        </w:rPr>
        <w:t xml:space="preserve"> </w:t>
      </w:r>
      <w:r w:rsidR="009A3874" w:rsidRPr="00B9573D">
        <w:rPr>
          <w:rFonts w:ascii="Traditional Arabic" w:hAnsi="Traditional Arabic"/>
          <w:rtl/>
        </w:rPr>
        <w:t>لأحد؛</w:t>
      </w:r>
      <w:r w:rsidRPr="00B9573D">
        <w:rPr>
          <w:rFonts w:ascii="Traditional Arabic" w:hAnsi="Traditional Arabic"/>
          <w:rtl/>
        </w:rPr>
        <w:t xml:space="preserve"> ولذلك ألحق مالك</w:t>
      </w:r>
      <w:r w:rsidR="00D37A45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الجاهل</w:t>
      </w:r>
      <w:r w:rsidR="009A3874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في </w:t>
      </w:r>
      <w:r w:rsidRPr="00B9573D">
        <w:rPr>
          <w:rFonts w:ascii="Traditional Arabic" w:hAnsi="Traditional Arabic"/>
          <w:rtl/>
        </w:rPr>
        <w:lastRenderedPageBreak/>
        <w:t>العبادات بالعامد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دون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الناسي؛ لأنه جهل</w:t>
      </w:r>
      <w:r w:rsidR="00D37A45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يمكنه رفع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>ه فسقط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اعتبار</w:t>
      </w:r>
      <w:r w:rsidR="00D37A45" w:rsidRPr="00B9573D">
        <w:rPr>
          <w:rFonts w:ascii="Traditional Arabic" w:hAnsi="Traditional Arabic"/>
          <w:rtl/>
        </w:rPr>
        <w:t>ُه.</w:t>
      </w:r>
    </w:p>
    <w:p w:rsidR="008C0DE3" w:rsidRPr="00B9573D" w:rsidRDefault="008C0DE3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rtl/>
        </w:rPr>
        <w:t>وكذلك قال الله تعالى في كتابه العزيز حكاية</w:t>
      </w:r>
      <w:r w:rsidR="00D37A45" w:rsidRPr="00B9573D">
        <w:rPr>
          <w:rFonts w:ascii="Traditional Arabic" w:hAnsi="Traditional Arabic"/>
          <w:rtl/>
        </w:rPr>
        <w:t>ً</w:t>
      </w:r>
      <w:r w:rsidRPr="00B9573D">
        <w:rPr>
          <w:rFonts w:ascii="Traditional Arabic" w:hAnsi="Traditional Arabic"/>
          <w:rtl/>
        </w:rPr>
        <w:t xml:space="preserve"> عن نوح </w:t>
      </w:r>
      <w:r w:rsidR="00B9573D">
        <w:rPr>
          <w:rFonts w:ascii="Traditional Arabic" w:hAnsi="Traditional Arabic"/>
          <w:rtl/>
        </w:rPr>
        <w:t>صلى الله عليه وسلم</w:t>
      </w:r>
      <w:r w:rsidR="00D37A45" w:rsidRPr="00B9573D">
        <w:rPr>
          <w:rFonts w:ascii="Traditional Arabic" w:hAnsi="Traditional Arabic"/>
          <w:rtl/>
        </w:rPr>
        <w:t xml:space="preserve">: </w:t>
      </w:r>
      <w:r w:rsidR="00D37A45" w:rsidRPr="00B9573D">
        <w:rPr>
          <w:rFonts w:ascii="Traditional Arabic" w:hAnsi="Traditional Arabic"/>
          <w:b/>
          <w:bCs/>
          <w:color w:val="00B050"/>
          <w:rtl/>
        </w:rPr>
        <w:t>{</w:t>
      </w:r>
      <w:r w:rsidRPr="00B9573D">
        <w:rPr>
          <w:rFonts w:ascii="Traditional Arabic" w:hAnsi="Traditional Arabic"/>
          <w:b/>
          <w:bCs/>
          <w:color w:val="00B050"/>
          <w:rtl/>
        </w:rPr>
        <w:t>إِنِّي أَعُوذُ بِكَ أَنْ أَسْأَلَكَ مَا لَيْسَ لِي بِهِ عِلْمٌ</w:t>
      </w:r>
      <w:r w:rsidR="00D37A45" w:rsidRPr="00B9573D">
        <w:rPr>
          <w:rFonts w:ascii="Traditional Arabic" w:hAnsi="Traditional Arabic"/>
          <w:b/>
          <w:bCs/>
          <w:color w:val="00B050"/>
          <w:rtl/>
        </w:rPr>
        <w:t>}</w:t>
      </w:r>
      <w:r w:rsidRPr="00B9573D">
        <w:rPr>
          <w:rFonts w:ascii="Traditional Arabic" w:hAnsi="Traditional Arabic"/>
          <w:rtl/>
        </w:rPr>
        <w:t xml:space="preserve"> [هود:47]</w:t>
      </w:r>
      <w:r w:rsidR="00D37A45" w:rsidRPr="00B9573D">
        <w:rPr>
          <w:rFonts w:ascii="Traditional Arabic" w:hAnsi="Traditional Arabic"/>
          <w:rtl/>
        </w:rPr>
        <w:t>،</w:t>
      </w:r>
      <w:r w:rsidRPr="00B9573D">
        <w:rPr>
          <w:rFonts w:ascii="Traditional Arabic" w:hAnsi="Traditional Arabic"/>
          <w:rtl/>
        </w:rPr>
        <w:t xml:space="preserve"> أي بجواز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سؤال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>ه فاشترط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العلم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بالجواز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قبل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الإقدام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على الدعاء</w:t>
      </w:r>
      <w:r w:rsidR="00D37A45" w:rsidRPr="00B9573D">
        <w:rPr>
          <w:rFonts w:ascii="Traditional Arabic" w:hAnsi="Traditional Arabic"/>
          <w:rtl/>
        </w:rPr>
        <w:t>ِ،</w:t>
      </w:r>
      <w:r w:rsidRPr="00B9573D">
        <w:rPr>
          <w:rFonts w:ascii="Traditional Arabic" w:hAnsi="Traditional Arabic"/>
          <w:rtl/>
        </w:rPr>
        <w:t xml:space="preserve"> وهو يدل</w:t>
      </w:r>
      <w:r w:rsidR="00D37A45" w:rsidRPr="00B9573D">
        <w:rPr>
          <w:rFonts w:ascii="Traditional Arabic" w:hAnsi="Traditional Arabic"/>
          <w:rtl/>
        </w:rPr>
        <w:t>ُّ</w:t>
      </w:r>
      <w:r w:rsidRPr="00B9573D">
        <w:rPr>
          <w:rFonts w:ascii="Traditional Arabic" w:hAnsi="Traditional Arabic"/>
          <w:rtl/>
        </w:rPr>
        <w:t xml:space="preserve"> على أن الأصل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في الدعاء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التحريم، إلا ما دل</w:t>
      </w:r>
      <w:r w:rsidR="00D37A45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 xml:space="preserve"> الدليل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على جوازه، وهذه قاعدة</w:t>
      </w:r>
      <w:r w:rsidR="00D37A45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جليلة</w:t>
      </w:r>
      <w:r w:rsidR="00D37A45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يتخر</w:t>
      </w:r>
      <w:r w:rsidR="00D37A45" w:rsidRPr="00B9573D">
        <w:rPr>
          <w:rFonts w:ascii="Traditional Arabic" w:hAnsi="Traditional Arabic"/>
          <w:rtl/>
        </w:rPr>
        <w:t>َّ</w:t>
      </w:r>
      <w:r w:rsidRPr="00B9573D">
        <w:rPr>
          <w:rFonts w:ascii="Traditional Arabic" w:hAnsi="Traditional Arabic"/>
          <w:rtl/>
        </w:rPr>
        <w:t>ج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عليها كثير</w:t>
      </w:r>
      <w:r w:rsidR="00D37A45" w:rsidRPr="00B9573D">
        <w:rPr>
          <w:rFonts w:ascii="Traditional Arabic" w:hAnsi="Traditional Arabic"/>
          <w:rtl/>
        </w:rPr>
        <w:t>ٌ</w:t>
      </w:r>
      <w:r w:rsidRPr="00B9573D">
        <w:rPr>
          <w:rFonts w:ascii="Traditional Arabic" w:hAnsi="Traditional Arabic"/>
          <w:rtl/>
        </w:rPr>
        <w:t xml:space="preserve"> من الفروع</w:t>
      </w:r>
      <w:r w:rsidR="00D37A45" w:rsidRPr="00B9573D">
        <w:rPr>
          <w:rFonts w:ascii="Traditional Arabic" w:hAnsi="Traditional Arabic"/>
          <w:rtl/>
        </w:rPr>
        <w:t>ِ</w:t>
      </w:r>
      <w:r w:rsidRPr="00B9573D">
        <w:rPr>
          <w:rFonts w:ascii="Traditional Arabic" w:hAnsi="Traditional Arabic"/>
          <w:rtl/>
        </w:rPr>
        <w:t xml:space="preserve"> </w:t>
      </w:r>
      <w:proofErr w:type="gramStart"/>
      <w:r w:rsidRPr="00B9573D">
        <w:rPr>
          <w:rFonts w:ascii="Traditional Arabic" w:hAnsi="Traditional Arabic"/>
          <w:rtl/>
        </w:rPr>
        <w:t>الفقهية</w:t>
      </w:r>
      <w:r w:rsidR="00D37A45" w:rsidRPr="00B9573D">
        <w:rPr>
          <w:rFonts w:ascii="Traditional Arabic" w:hAnsi="Traditional Arabic"/>
          <w:rtl/>
        </w:rPr>
        <w:t>ِ</w:t>
      </w:r>
      <w:r w:rsidR="00C21032" w:rsidRPr="00B9573D">
        <w:rPr>
          <w:rFonts w:ascii="Traditional Arabic" w:hAnsi="Traditional Arabic"/>
          <w:rtl/>
        </w:rPr>
        <w:t>»</w:t>
      </w:r>
      <w:r w:rsidRPr="00B9573D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B9573D">
        <w:rPr>
          <w:rFonts w:ascii="Traditional Arabic" w:hAnsi="Traditional Arabic"/>
          <w:b/>
          <w:bCs/>
          <w:vertAlign w:val="superscript"/>
          <w:rtl/>
        </w:rPr>
        <w:footnoteReference w:id="6"/>
      </w:r>
      <w:r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Pr="00B9573D">
        <w:rPr>
          <w:rFonts w:ascii="Traditional Arabic" w:hAnsi="Traditional Arabic"/>
          <w:rtl/>
        </w:rPr>
        <w:t>.</w:t>
      </w:r>
    </w:p>
    <w:p w:rsidR="008C0DE3" w:rsidRPr="00B9573D" w:rsidRDefault="008C0DE3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rtl/>
        </w:rPr>
        <w:t>هذا كلام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القرافي المالكي وقد نقل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 xml:space="preserve"> بعض كلامه هذا ابن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 xml:space="preserve"> حجر الهيتمي الشافعي م</w:t>
      </w:r>
      <w:r w:rsidR="00D37A45" w:rsidRPr="00B9573D">
        <w:rPr>
          <w:rFonts w:ascii="Traditional Arabic" w:hAnsi="Traditional Arabic"/>
          <w:rtl/>
        </w:rPr>
        <w:t>ُ</w:t>
      </w:r>
      <w:r w:rsidRPr="00B9573D">
        <w:rPr>
          <w:rFonts w:ascii="Traditional Arabic" w:hAnsi="Traditional Arabic"/>
          <w:rtl/>
        </w:rPr>
        <w:t>ق</w:t>
      </w:r>
      <w:r w:rsidR="00D37A45" w:rsidRPr="00B9573D">
        <w:rPr>
          <w:rFonts w:ascii="Traditional Arabic" w:hAnsi="Traditional Arabic"/>
          <w:rtl/>
        </w:rPr>
        <w:t>َ</w:t>
      </w:r>
      <w:r w:rsidRPr="00B9573D">
        <w:rPr>
          <w:rFonts w:ascii="Traditional Arabic" w:hAnsi="Traditional Arabic"/>
          <w:rtl/>
        </w:rPr>
        <w:t>ر</w:t>
      </w:r>
      <w:r w:rsidR="00D37A45" w:rsidRPr="00B9573D">
        <w:rPr>
          <w:rFonts w:ascii="Traditional Arabic" w:hAnsi="Traditional Arabic"/>
          <w:rtl/>
        </w:rPr>
        <w:t>ِّ</w:t>
      </w:r>
      <w:r w:rsidRPr="00B9573D">
        <w:rPr>
          <w:rFonts w:ascii="Traditional Arabic" w:hAnsi="Traditional Arabic"/>
          <w:rtl/>
        </w:rPr>
        <w:t>ر</w:t>
      </w:r>
      <w:r w:rsidR="00D37A45" w:rsidRPr="00B9573D">
        <w:rPr>
          <w:rFonts w:ascii="Traditional Arabic" w:hAnsi="Traditional Arabic"/>
          <w:rtl/>
        </w:rPr>
        <w:t>ًا</w:t>
      </w:r>
      <w:r w:rsidRPr="00B9573D">
        <w:rPr>
          <w:rFonts w:ascii="Traditional Arabic" w:hAnsi="Traditional Arabic"/>
          <w:rtl/>
        </w:rPr>
        <w:t xml:space="preserve"> </w:t>
      </w:r>
      <w:proofErr w:type="gramStart"/>
      <w:r w:rsidRPr="00B9573D">
        <w:rPr>
          <w:rFonts w:ascii="Traditional Arabic" w:hAnsi="Traditional Arabic"/>
          <w:rtl/>
        </w:rPr>
        <w:t>له</w:t>
      </w:r>
      <w:r w:rsidRPr="00B9573D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B9573D">
        <w:rPr>
          <w:rFonts w:ascii="Traditional Arabic" w:hAnsi="Traditional Arabic"/>
          <w:b/>
          <w:bCs/>
          <w:vertAlign w:val="superscript"/>
          <w:rtl/>
        </w:rPr>
        <w:footnoteReference w:id="7"/>
      </w:r>
      <w:r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Pr="00B9573D">
        <w:rPr>
          <w:rFonts w:ascii="Traditional Arabic" w:hAnsi="Traditional Arabic"/>
          <w:rtl/>
        </w:rPr>
        <w:t>.</w:t>
      </w:r>
    </w:p>
    <w:p w:rsidR="008C0DE3" w:rsidRPr="00B9573D" w:rsidRDefault="00D37A45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b/>
          <w:bCs/>
          <w:u w:val="single"/>
          <w:rtl/>
        </w:rPr>
        <w:t>ثالثًا: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ثم إن العلماء الذين أ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ع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ذ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وا بالجهل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قيدوه بشرط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عدم قيام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الحجة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، فأما إذا قامت الحجة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الرسالية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فلم يعذروه، كما أن الجاهل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إذا كان م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ض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عن طلب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الحق</w:t>
      </w:r>
      <w:r w:rsidRPr="00B9573D">
        <w:rPr>
          <w:rFonts w:ascii="Traditional Arabic" w:hAnsi="Traditional Arabic"/>
          <w:rtl/>
        </w:rPr>
        <w:t>ِّ</w:t>
      </w:r>
      <w:r w:rsidR="008C0DE3" w:rsidRPr="00B9573D">
        <w:rPr>
          <w:rFonts w:ascii="Traditional Arabic" w:hAnsi="Traditional Arabic"/>
          <w:rtl/>
        </w:rPr>
        <w:t xml:space="preserve"> ولا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ريد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الحق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 xml:space="preserve"> إذا تمكن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منه فلا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ذ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ر، فقد </w:t>
      </w:r>
      <w:proofErr w:type="gramStart"/>
      <w:r w:rsidR="008C0DE3" w:rsidRPr="00B9573D">
        <w:rPr>
          <w:rFonts w:ascii="Traditional Arabic" w:hAnsi="Traditional Arabic"/>
          <w:rtl/>
        </w:rPr>
        <w:t>ذكروا</w:t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="008C0DE3" w:rsidRPr="00B9573D">
        <w:rPr>
          <w:rFonts w:ascii="Traditional Arabic" w:hAnsi="Traditional Arabic"/>
          <w:b/>
          <w:bCs/>
          <w:vertAlign w:val="superscript"/>
          <w:rtl/>
        </w:rPr>
        <w:footnoteReference w:id="8"/>
      </w:r>
      <w:r w:rsidR="008C0DE3" w:rsidRPr="00B9573D">
        <w:rPr>
          <w:rFonts w:ascii="Traditional Arabic" w:hAnsi="Traditional Arabic"/>
          <w:b/>
          <w:bCs/>
          <w:vertAlign w:val="superscript"/>
          <w:rtl/>
        </w:rPr>
        <w:t>)</w:t>
      </w:r>
      <w:r w:rsidR="008C0DE3" w:rsidRPr="00B9573D">
        <w:rPr>
          <w:rFonts w:ascii="Traditional Arabic" w:hAnsi="Traditional Arabic"/>
          <w:rtl/>
        </w:rPr>
        <w:t xml:space="preserve"> أن من الكفر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كفر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إعراض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>، وكفر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عناد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>، وإنما الذي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عذر من يريد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الهدى ويؤ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ث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ه ويحب</w:t>
      </w:r>
      <w:r w:rsidRPr="00B9573D">
        <w:rPr>
          <w:rFonts w:ascii="Traditional Arabic" w:hAnsi="Traditional Arabic"/>
          <w:rtl/>
        </w:rPr>
        <w:t>ُّ</w:t>
      </w:r>
      <w:r w:rsidR="008C0DE3" w:rsidRPr="00B9573D">
        <w:rPr>
          <w:rFonts w:ascii="Traditional Arabic" w:hAnsi="Traditional Arabic"/>
          <w:rtl/>
        </w:rPr>
        <w:t>ه ولكنه غير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قادر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 xml:space="preserve"> عليه</w:t>
      </w:r>
      <w:r w:rsidRPr="00B9573D">
        <w:rPr>
          <w:rFonts w:ascii="Traditional Arabic" w:hAnsi="Traditional Arabic"/>
          <w:rtl/>
        </w:rPr>
        <w:t>،</w:t>
      </w:r>
      <w:r w:rsidR="008C0DE3" w:rsidRPr="00B9573D">
        <w:rPr>
          <w:rFonts w:ascii="Traditional Arabic" w:hAnsi="Traditional Arabic"/>
          <w:rtl/>
        </w:rPr>
        <w:t xml:space="preserve"> ولا على طلب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</w:t>
      </w:r>
      <w:r w:rsidRPr="00B9573D">
        <w:rPr>
          <w:rFonts w:ascii="Traditional Arabic" w:hAnsi="Traditional Arabic"/>
          <w:rtl/>
        </w:rPr>
        <w:t>؛</w:t>
      </w:r>
      <w:r w:rsidR="008C0DE3" w:rsidRPr="00B9573D">
        <w:rPr>
          <w:rFonts w:ascii="Traditional Arabic" w:hAnsi="Traditional Arabic"/>
          <w:rtl/>
        </w:rPr>
        <w:t xml:space="preserve"> لعدم م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ش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د</w:t>
      </w:r>
      <w:r w:rsidRPr="00B9573D">
        <w:rPr>
          <w:rFonts w:ascii="Traditional Arabic" w:hAnsi="Traditional Arabic"/>
          <w:rtl/>
        </w:rPr>
        <w:t>ٍ،</w:t>
      </w:r>
      <w:r w:rsidR="008C0DE3" w:rsidRPr="00B9573D">
        <w:rPr>
          <w:rFonts w:ascii="Traditional Arabic" w:hAnsi="Traditional Arabic"/>
          <w:rtl/>
        </w:rPr>
        <w:t xml:space="preserve"> وبعض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هم إنما أ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ع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ذ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من المسائل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الدقيقة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الخفية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، وأما مثل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هذه المسألة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التي هي أصل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الإسلام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فلم يعذروا فيه بالجهل.</w:t>
      </w:r>
    </w:p>
    <w:p w:rsidR="008C0DE3" w:rsidRPr="00B9573D" w:rsidRDefault="008C0DE3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bookmarkStart w:id="0" w:name="_GoBack"/>
      <w:bookmarkEnd w:id="0"/>
      <w:r w:rsidRPr="00B9573D">
        <w:rPr>
          <w:rFonts w:ascii="Traditional Arabic" w:hAnsi="Traditional Arabic"/>
          <w:rtl/>
        </w:rPr>
        <w:t>وقد تقدمت الإشارة إلى هذه المسألة.</w:t>
      </w:r>
    </w:p>
    <w:p w:rsidR="00D37A45" w:rsidRPr="00B9573D" w:rsidRDefault="00D37A45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  <w:rtl/>
        </w:rPr>
      </w:pPr>
      <w:r w:rsidRPr="00B9573D">
        <w:rPr>
          <w:rFonts w:ascii="Traditional Arabic" w:hAnsi="Traditional Arabic"/>
          <w:b/>
          <w:bCs/>
          <w:u w:val="single"/>
          <w:rtl/>
        </w:rPr>
        <w:t>رابعًا:</w:t>
      </w:r>
      <w:r w:rsidRPr="00B9573D">
        <w:rPr>
          <w:rFonts w:ascii="Traditional Arabic" w:hAnsi="Traditional Arabic"/>
          <w:rtl/>
        </w:rPr>
        <w:t xml:space="preserve"> </w:t>
      </w:r>
      <w:r w:rsidR="008C0DE3" w:rsidRPr="00B9573D">
        <w:rPr>
          <w:rFonts w:ascii="Traditional Arabic" w:hAnsi="Traditional Arabic"/>
          <w:rtl/>
        </w:rPr>
        <w:t>ثم كون الجهل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ي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ع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ذ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به على القول به</w:t>
      </w:r>
      <w:r w:rsidRPr="00B9573D">
        <w:rPr>
          <w:rFonts w:ascii="Traditional Arabic" w:hAnsi="Traditional Arabic"/>
          <w:rtl/>
        </w:rPr>
        <w:t>؛</w:t>
      </w:r>
      <w:r w:rsidR="008C0DE3" w:rsidRPr="00B9573D">
        <w:rPr>
          <w:rFonts w:ascii="Traditional Arabic" w:hAnsi="Traditional Arabic"/>
          <w:rtl/>
        </w:rPr>
        <w:t xml:space="preserve"> لا يجعل الشرك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أمر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جائز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ومباح</w:t>
      </w:r>
      <w:r w:rsidRPr="00B9573D">
        <w:rPr>
          <w:rFonts w:ascii="Traditional Arabic" w:hAnsi="Traditional Arabic"/>
          <w:rtl/>
        </w:rPr>
        <w:t>ًا،</w:t>
      </w:r>
      <w:r w:rsidR="008C0DE3" w:rsidRPr="00B9573D">
        <w:rPr>
          <w:rFonts w:ascii="Traditional Arabic" w:hAnsi="Traditional Arabic"/>
          <w:rtl/>
        </w:rPr>
        <w:t xml:space="preserve"> ولا يبيح الدفاع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عم</w:t>
      </w:r>
      <w:r w:rsidRPr="00B9573D">
        <w:rPr>
          <w:rFonts w:ascii="Traditional Arabic" w:hAnsi="Traditional Arabic"/>
          <w:rtl/>
        </w:rPr>
        <w:t>َّ</w:t>
      </w:r>
      <w:r w:rsidR="008C0DE3" w:rsidRPr="00B9573D">
        <w:rPr>
          <w:rFonts w:ascii="Traditional Arabic" w:hAnsi="Traditional Arabic"/>
          <w:rtl/>
        </w:rPr>
        <w:t>ن يفعل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الشرك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ولا السكوت عن إنكار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ه والرضا </w:t>
      </w:r>
      <w:r w:rsidRPr="00B9573D">
        <w:rPr>
          <w:rFonts w:ascii="Traditional Arabic" w:hAnsi="Traditional Arabic"/>
          <w:rtl/>
        </w:rPr>
        <w:t>به</w:t>
      </w:r>
      <w:r w:rsidR="00B9573D">
        <w:rPr>
          <w:rFonts w:ascii="Traditional Arabic" w:hAnsi="Traditional Arabic" w:hint="cs"/>
          <w:rtl/>
        </w:rPr>
        <w:t xml:space="preserve">، </w:t>
      </w:r>
      <w:r w:rsidR="008C0DE3" w:rsidRPr="00B9573D">
        <w:rPr>
          <w:rFonts w:ascii="Traditional Arabic" w:hAnsi="Traditional Arabic"/>
          <w:rtl/>
        </w:rPr>
        <w:t>مثال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ذلك لو أن رجل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كان قريب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عهد</w:t>
      </w:r>
      <w:r w:rsidRPr="00B9573D">
        <w:rPr>
          <w:rFonts w:ascii="Traditional Arabic" w:hAnsi="Traditional Arabic"/>
          <w:rtl/>
        </w:rPr>
        <w:t>ٍ</w:t>
      </w:r>
      <w:r w:rsidR="008C0DE3" w:rsidRPr="00B9573D">
        <w:rPr>
          <w:rFonts w:ascii="Traditional Arabic" w:hAnsi="Traditional Arabic"/>
          <w:rtl/>
        </w:rPr>
        <w:t xml:space="preserve"> بالإسلام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وشرب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الخمر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لجهل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 فهو معذور</w:t>
      </w:r>
      <w:r w:rsidRPr="00B9573D">
        <w:rPr>
          <w:rFonts w:ascii="Traditional Arabic" w:hAnsi="Traditional Arabic"/>
          <w:rtl/>
        </w:rPr>
        <w:t>ٌ،</w:t>
      </w:r>
      <w:r w:rsidR="008C0DE3" w:rsidRPr="00B9573D">
        <w:rPr>
          <w:rFonts w:ascii="Traditional Arabic" w:hAnsi="Traditional Arabic"/>
          <w:rtl/>
        </w:rPr>
        <w:t xml:space="preserve"> ولكن هذا لا يبيح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لمن يراه أن يسكت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عنه ولا أن ينكر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على من ينكر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عليه، كما أن هذا الشارب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للخمر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إذا عرف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بتحريم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الخمر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في الإسلام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ثم استمر</w:t>
      </w:r>
      <w:r w:rsidRPr="00B9573D">
        <w:rPr>
          <w:rFonts w:ascii="Traditional Arabic" w:hAnsi="Traditional Arabic"/>
          <w:rtl/>
        </w:rPr>
        <w:t>؛</w:t>
      </w:r>
      <w:r w:rsidR="008C0DE3" w:rsidRPr="00B9573D">
        <w:rPr>
          <w:rFonts w:ascii="Traditional Arabic" w:hAnsi="Traditional Arabic"/>
          <w:rtl/>
        </w:rPr>
        <w:t xml:space="preserve"> يكون عاصي</w:t>
      </w:r>
      <w:r w:rsidRPr="00B9573D">
        <w:rPr>
          <w:rFonts w:ascii="Traditional Arabic" w:hAnsi="Traditional Arabic"/>
          <w:rtl/>
        </w:rPr>
        <w:t>ًا</w:t>
      </w:r>
      <w:r w:rsidR="00B9573D">
        <w:rPr>
          <w:rFonts w:ascii="Traditional Arabic" w:hAnsi="Traditional Arabic" w:hint="cs"/>
          <w:rtl/>
        </w:rPr>
        <w:t xml:space="preserve">، </w:t>
      </w:r>
      <w:r w:rsidR="008C0DE3" w:rsidRPr="00B9573D">
        <w:rPr>
          <w:rFonts w:ascii="Traditional Arabic" w:hAnsi="Traditional Arabic"/>
          <w:rtl/>
        </w:rPr>
        <w:t>ومثل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هذا ما نحن فيه</w:t>
      </w:r>
      <w:r w:rsidRPr="00B9573D">
        <w:rPr>
          <w:rFonts w:ascii="Traditional Arabic" w:hAnsi="Traditional Arabic"/>
          <w:rtl/>
        </w:rPr>
        <w:t>،</w:t>
      </w:r>
      <w:r w:rsidR="008C0DE3" w:rsidRPr="00B9573D">
        <w:rPr>
          <w:rFonts w:ascii="Traditional Arabic" w:hAnsi="Traditional Arabic"/>
          <w:rtl/>
        </w:rPr>
        <w:t xml:space="preserve"> لا يصلح الاعتذار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بمسألة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الجهل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عمن يدعو غير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الله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تعالى في ديار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المسلمين، ويعيش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بينهم، كما أنه لا يكون له عذر</w:t>
      </w:r>
      <w:r w:rsidRPr="00B9573D">
        <w:rPr>
          <w:rFonts w:ascii="Traditional Arabic" w:hAnsi="Traditional Arabic"/>
          <w:rtl/>
        </w:rPr>
        <w:t>ٌ</w:t>
      </w:r>
      <w:r w:rsidR="008C0DE3" w:rsidRPr="00B9573D">
        <w:rPr>
          <w:rFonts w:ascii="Traditional Arabic" w:hAnsi="Traditional Arabic"/>
          <w:rtl/>
        </w:rPr>
        <w:t xml:space="preserve"> بعد تعريف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 وإقامة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الحجة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عليه.</w:t>
      </w:r>
    </w:p>
    <w:p w:rsidR="008C0DE3" w:rsidRPr="00B9573D" w:rsidRDefault="00D37A45" w:rsidP="00B9573D">
      <w:pPr>
        <w:widowControl w:val="0"/>
        <w:spacing w:before="120" w:after="160" w:line="240" w:lineRule="auto"/>
        <w:ind w:firstLine="227"/>
        <w:jc w:val="thaiDistribute"/>
        <w:rPr>
          <w:rFonts w:ascii="Traditional Arabic" w:hAnsi="Traditional Arabic"/>
        </w:rPr>
      </w:pPr>
      <w:r w:rsidRPr="00B9573D">
        <w:rPr>
          <w:rFonts w:ascii="Traditional Arabic" w:hAnsi="Traditional Arabic"/>
          <w:b/>
          <w:bCs/>
          <w:u w:val="single"/>
          <w:rtl/>
        </w:rPr>
        <w:t>خامسًا:</w:t>
      </w:r>
      <w:r w:rsidR="008C0DE3" w:rsidRPr="00B9573D">
        <w:rPr>
          <w:rFonts w:ascii="Traditional Arabic" w:hAnsi="Traditional Arabic"/>
          <w:rtl/>
        </w:rPr>
        <w:t xml:space="preserve"> ثم إن العاقل</w:t>
      </w:r>
      <w:r w:rsidRPr="00B9573D">
        <w:rPr>
          <w:rFonts w:ascii="Traditional Arabic" w:hAnsi="Traditional Arabic"/>
          <w:rtl/>
        </w:rPr>
        <w:t>َ</w:t>
      </w:r>
      <w:r w:rsidR="008C0DE3" w:rsidRPr="00B9573D">
        <w:rPr>
          <w:rFonts w:ascii="Traditional Arabic" w:hAnsi="Traditional Arabic"/>
          <w:rtl/>
        </w:rPr>
        <w:t xml:space="preserve"> ينبغي له الابتعاد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عن الشرك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وذرائع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ه والاحتياط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في ذلك حتى ولو كانت المسألة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مختلف</w:t>
      </w:r>
      <w:r w:rsidRPr="00B9573D">
        <w:rPr>
          <w:rFonts w:ascii="Traditional Arabic" w:hAnsi="Traditional Arabic"/>
          <w:rtl/>
        </w:rPr>
        <w:t>ًا</w:t>
      </w:r>
      <w:r w:rsidR="008C0DE3" w:rsidRPr="00B9573D">
        <w:rPr>
          <w:rFonts w:ascii="Traditional Arabic" w:hAnsi="Traditional Arabic"/>
          <w:rtl/>
        </w:rPr>
        <w:t xml:space="preserve"> فيها، فإذا كان العلماء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في المسائل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الخلافية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في الفروع يأخذون بالأحوط</w:t>
      </w:r>
      <w:r w:rsidRPr="00B9573D">
        <w:rPr>
          <w:rFonts w:ascii="Traditional Arabic" w:hAnsi="Traditional Arabic"/>
          <w:rtl/>
        </w:rPr>
        <w:t>ِ،</w:t>
      </w:r>
      <w:r w:rsidR="008C0DE3" w:rsidRPr="00B9573D">
        <w:rPr>
          <w:rFonts w:ascii="Traditional Arabic" w:hAnsi="Traditional Arabic"/>
          <w:rtl/>
        </w:rPr>
        <w:t xml:space="preserve"> فكيف يكون الأمر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في المسائل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العقدية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التي يدور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الأمر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فيها بين الخروج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عن الملة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والارتداد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والخلود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في النار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، وإبانة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الزوجة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وعدم الإرث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 xml:space="preserve"> وغير ذلك، وبين كونه معصية</w:t>
      </w:r>
      <w:r w:rsidRPr="00B9573D">
        <w:rPr>
          <w:rFonts w:ascii="Traditional Arabic" w:hAnsi="Traditional Arabic"/>
          <w:rtl/>
        </w:rPr>
        <w:t>ً</w:t>
      </w:r>
      <w:r w:rsidR="008C0DE3" w:rsidRPr="00B9573D">
        <w:rPr>
          <w:rFonts w:ascii="Traditional Arabic" w:hAnsi="Traditional Arabic"/>
          <w:rtl/>
        </w:rPr>
        <w:t xml:space="preserve"> لا ت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>خ</w:t>
      </w:r>
      <w:r w:rsidRPr="00B9573D">
        <w:rPr>
          <w:rFonts w:ascii="Traditional Arabic" w:hAnsi="Traditional Arabic"/>
          <w:rtl/>
        </w:rPr>
        <w:t>ْ</w:t>
      </w:r>
      <w:r w:rsidR="008C0DE3" w:rsidRPr="00B9573D">
        <w:rPr>
          <w:rFonts w:ascii="Traditional Arabic" w:hAnsi="Traditional Arabic"/>
          <w:rtl/>
        </w:rPr>
        <w:t>ر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ج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عن الإسلام</w:t>
      </w:r>
      <w:r w:rsidRPr="00B9573D">
        <w:rPr>
          <w:rFonts w:ascii="Traditional Arabic" w:hAnsi="Traditional Arabic"/>
          <w:rtl/>
        </w:rPr>
        <w:t>ِ</w:t>
      </w:r>
      <w:r w:rsidR="008C0DE3" w:rsidRPr="00B9573D">
        <w:rPr>
          <w:rFonts w:ascii="Traditional Arabic" w:hAnsi="Traditional Arabic"/>
          <w:rtl/>
        </w:rPr>
        <w:t>؟</w:t>
      </w:r>
      <w:r w:rsidRPr="00B9573D">
        <w:rPr>
          <w:rFonts w:ascii="Traditional Arabic" w:hAnsi="Traditional Arabic"/>
          <w:rtl/>
        </w:rPr>
        <w:t>!</w:t>
      </w:r>
      <w:r w:rsidR="008C0DE3" w:rsidRPr="00B9573D">
        <w:rPr>
          <w:rFonts w:ascii="Traditional Arabic" w:hAnsi="Traditional Arabic"/>
          <w:rtl/>
        </w:rPr>
        <w:t xml:space="preserve"> فالاحتياط</w:t>
      </w:r>
      <w:r w:rsidRPr="00B9573D">
        <w:rPr>
          <w:rFonts w:ascii="Traditional Arabic" w:hAnsi="Traditional Arabic"/>
          <w:rtl/>
        </w:rPr>
        <w:t>ُ</w:t>
      </w:r>
      <w:r w:rsidR="008C0DE3" w:rsidRPr="00B9573D">
        <w:rPr>
          <w:rFonts w:ascii="Traditional Arabic" w:hAnsi="Traditional Arabic"/>
          <w:rtl/>
        </w:rPr>
        <w:t xml:space="preserve"> فيها أوجب وأوكد بلا شك ولا ريب.</w:t>
      </w:r>
    </w:p>
    <w:sectPr w:rsidR="008C0DE3" w:rsidRPr="00B9573D" w:rsidSect="00B9573D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37" w:rsidRDefault="00F70837" w:rsidP="008C0DE3">
      <w:pPr>
        <w:spacing w:line="240" w:lineRule="auto"/>
      </w:pPr>
      <w:r>
        <w:separator/>
      </w:r>
    </w:p>
  </w:endnote>
  <w:endnote w:type="continuationSeparator" w:id="0">
    <w:p w:rsidR="00F70837" w:rsidRDefault="00F70837" w:rsidP="008C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37" w:rsidRDefault="00F70837" w:rsidP="008C0DE3">
      <w:pPr>
        <w:spacing w:line="240" w:lineRule="auto"/>
      </w:pPr>
      <w:r>
        <w:separator/>
      </w:r>
    </w:p>
  </w:footnote>
  <w:footnote w:type="continuationSeparator" w:id="0">
    <w:p w:rsidR="00F70837" w:rsidRDefault="00F70837" w:rsidP="008C0DE3">
      <w:pPr>
        <w:spacing w:line="240" w:lineRule="auto"/>
      </w:pPr>
      <w:r>
        <w:continuationSeparator/>
      </w:r>
    </w:p>
  </w:footnote>
  <w:footnote w:id="1">
    <w:p w:rsidR="009A3874" w:rsidRPr="008D3BAE" w:rsidRDefault="009A3874" w:rsidP="009A3874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 في هذه الشبهة والجواب عنها: الدر النضيد: (23).</w:t>
      </w:r>
    </w:p>
  </w:footnote>
  <w:footnote w:id="2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الدر النضيد: (34).</w:t>
      </w:r>
    </w:p>
  </w:footnote>
  <w:footnote w:id="3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 الفتاوى البزازية: (3/347)، والبحر الرائق: (5/135)، والقتاوى الهندية: (2/376)، وجلاء العينين (ص:515).</w:t>
      </w:r>
    </w:p>
  </w:footnote>
  <w:footnote w:id="4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انطر الشرح الصغير للدردير: (4/439)، وشرح عليش على مختصر خليل: (4/377).</w:t>
      </w:r>
    </w:p>
  </w:footnote>
  <w:footnote w:id="5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 العلم الشامخ (ص:590)، وتنبيه الغبي: (23)، والعقد الثمين للفاسي: (2/176).</w:t>
      </w:r>
    </w:p>
  </w:footnote>
  <w:footnote w:id="6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الفروق: (4/264-265)، واعترض عليه ابن الشاط في كون أصل الدعاء التحريم بأن الأصل في الدعاء الندب إلا ما دل الدليل على منعه. انظر البروق بهامش الفروق: (4/265).</w:t>
      </w:r>
    </w:p>
  </w:footnote>
  <w:footnote w:id="7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الإعلام بقواطع الإسلام (ص:98).</w:t>
      </w:r>
    </w:p>
  </w:footnote>
  <w:footnote w:id="8">
    <w:p w:rsidR="008C0DE3" w:rsidRPr="008D3BAE" w:rsidRDefault="008C0DE3" w:rsidP="008C0DE3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طبقات المكلفين (ص:98-103)، وكشف الشبهتين (ص:85-89).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DE3"/>
    <w:rsid w:val="00041E92"/>
    <w:rsid w:val="002078CA"/>
    <w:rsid w:val="004031E2"/>
    <w:rsid w:val="005F20F4"/>
    <w:rsid w:val="008C0DE3"/>
    <w:rsid w:val="009A3874"/>
    <w:rsid w:val="00AA1B4D"/>
    <w:rsid w:val="00B9573D"/>
    <w:rsid w:val="00C21032"/>
    <w:rsid w:val="00CE7C61"/>
    <w:rsid w:val="00D37A45"/>
    <w:rsid w:val="00F5395D"/>
    <w:rsid w:val="00F70837"/>
    <w:rsid w:val="00FE054A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A5BF2D-3C34-4FD9-88DB-5EA5CEC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E3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8C0DE3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8C0DE3"/>
    <w:rPr>
      <w:rFonts w:ascii="Times New Roman" w:eastAsia="Times New Roman" w:hAnsi="Times New Roman" w:cs="Traditional Arabic"/>
      <w:sz w:val="20"/>
      <w:szCs w:val="20"/>
    </w:rPr>
  </w:style>
  <w:style w:type="paragraph" w:customStyle="1" w:styleId="2">
    <w:name w:val="نمط2"/>
    <w:basedOn w:val="a"/>
    <w:rsid w:val="008C0DE3"/>
    <w:pPr>
      <w:widowControl w:val="0"/>
      <w:spacing w:before="240" w:line="240" w:lineRule="auto"/>
      <w:ind w:firstLine="0"/>
      <w:jc w:val="lowKashida"/>
    </w:pPr>
    <w:rPr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6</cp:revision>
  <dcterms:created xsi:type="dcterms:W3CDTF">2016-02-15T12:17:00Z</dcterms:created>
  <dcterms:modified xsi:type="dcterms:W3CDTF">2016-06-02T03:03:00Z</dcterms:modified>
</cp:coreProperties>
</file>