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EC" w:rsidRPr="00BE6DDC" w:rsidRDefault="00A002EC" w:rsidP="00BE6DDC">
      <w:pPr>
        <w:tabs>
          <w:tab w:val="left" w:pos="7357"/>
        </w:tabs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احتجاجهم بأن التفريق بين توحيد الربوبية والإلهية لم يرِد في الكتاب والسُنة</w:t>
      </w:r>
    </w:p>
    <w:p w:rsidR="00573180" w:rsidRPr="00BE6DDC" w:rsidRDefault="00C472C6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قول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هم: إن التفريق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توحيد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وتوحيد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الألوهية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وما انبنى عليه من تقسيم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التوحيد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هذين المعنيين بدعة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ً،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 تر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د في كتاب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تعالى ولا س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نة نبيه </w:t>
      </w:r>
      <w:r w:rsid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، وما سم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أن النبي </w:t>
      </w:r>
      <w:r w:rsid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 إذا قدمت عليه أجلاف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موا على يديه ي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لهم أن التوحيد على قسمين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ربوبية وألوهية، وأن</w:t>
      </w:r>
      <w:bookmarkStart w:id="0" w:name="_GoBack"/>
      <w:bookmarkEnd w:id="0"/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توحيد الربوبية لا يكفي ولا ي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ي مفردًا عن الألوهية</w:t>
      </w:r>
      <w:r w:rsidR="00A002EC" w:rsidRPr="00BE6D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E6DD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A002EC" w:rsidRPr="00BE6D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A002EC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472C6" w:rsidRPr="00BE6DDC" w:rsidRDefault="00C472C6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A002EC" w:rsidRPr="00BE6DDC" w:rsidRDefault="00A002EC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A42E3B" w:rsidRPr="00BE6DDC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عدم التسليم بعدم ورود هذا التفريق في الكتاب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والس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نة، بل هو معنى ظاهر في نصوص الكتاب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والس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نة، ولعل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أظهر ما يكون من ذلك قوله تعالى: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{وَمَا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يُؤْمِنُ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أَكْثَرُهُمْ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بِاللَّهِ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إِلَّا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وَهُمْ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مُشْرِكُونَ}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[يوسف: 106]، وهذان أمران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متقابلان، ولا يشك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المرء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بالفرق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المتقابلات.</w:t>
      </w:r>
    </w:p>
    <w:p w:rsidR="00A002EC" w:rsidRPr="00BE6DDC" w:rsidRDefault="00A002EC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A42E3B" w:rsidRPr="00BE6D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الشيخ محمد بن عثيمين 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A42E3B" w:rsidRPr="00BE6D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وقد يقول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البعض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 هذا التقسيم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للتوحيد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بدعة، ولكن نقول: بتتبع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النصوص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الواردة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التوحيد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وجدناها لا ت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خ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هذه الأقسام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الثلاثة، والاستدلال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المبني على التتبع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والاستقراء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ثابت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حتى في القرآن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ِ؛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في قوله تعالى: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{أَفَرَأَيْتَ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الَّذِي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كَفَرَ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بِآيَاتِنَا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وَقَالَ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لَأُوتَيَنَّ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مَالًا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وَوَلَدًا (77) أَطَّلَعَ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الْغَيْبَ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أَمِ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اتَّخَذَ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عِنْدَ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الرَّحْمَنِ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عَهْدًا}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[مريم: 77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78]، والجواب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هذا ولا هذا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ولهذا قال: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{كَلَّا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سَنَكْتُبُ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مَا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يَقُولُ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وَنَمُدُّ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لَهُ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مِنَ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الْعَذَابِ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مَدًّا}</w:t>
      </w:r>
      <w:r w:rsidR="00A42E3B" w:rsidRPr="00BE6DD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[مريم: 79]</w:t>
      </w:r>
      <w:r w:rsidR="00A42E3B" w:rsidRPr="00BE6DD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 xml:space="preserve"> «</w:t>
      </w:r>
      <w:r w:rsidR="00A42E3B" w:rsidRPr="00BE6D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BE6D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C472C6" w:rsidRPr="00BE6DD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BE6DD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A002EC" w:rsidRPr="00BE6DDC" w:rsidRDefault="00A002EC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BE6D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أن العرب الذين ب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ث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فيهم النبي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E6D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كانوا عارفين بمقاصد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اللغة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، والنبي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E6D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 يدعوهم إلى تحقيق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(لا إله إلا الله)، فهم يدركون معنى هذه الكلمة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إذا أقر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وا بها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أن يتركوا كل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كانوا يعبدونه مع الله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وأن هذا لا ي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ني تحويل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اعتقاد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قلبي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ٍّ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فقط من اعتقاد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أنها لا تخلق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ولا ترزق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ثم إن لهم حرية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الإبقاء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طقوس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هم تجاهها، كلا بل إنهم يعرفون معنى هذه الكلمة.</w:t>
      </w:r>
    </w:p>
    <w:p w:rsidR="00C472C6" w:rsidRPr="00BE6DDC" w:rsidRDefault="00A002EC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E6D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BE6DD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التفريق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النوعين في دعوة النبي </w:t>
      </w:r>
      <w:r w:rsid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واقع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ضمنًا، إذ لم يقبل منهم الإقرار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بوحدانية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في ربوبيته دون الألوهية، وقد أخبره الله تعالى أنه إن سألهم عن خالق السماوات والأرض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ومدبر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الأمر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ليقول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الله، وهذا هو المقصود بتوحيد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، فلم يكن يقبل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منهم </w:t>
      </w:r>
      <w:r w:rsid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أن يجمعوا مع ذلك توحيد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الألوهية</w:t>
      </w:r>
      <w:r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472C6" w:rsidRPr="00BE6DDC">
        <w:rPr>
          <w:rFonts w:ascii="Traditional Arabic" w:hAnsi="Traditional Arabic" w:cs="Traditional Arabic"/>
          <w:sz w:val="32"/>
          <w:szCs w:val="32"/>
          <w:rtl/>
          <w:lang w:bidi="ar-EG"/>
        </w:rPr>
        <w:t>، وهو معنى (لا إله إلا الله).</w:t>
      </w:r>
    </w:p>
    <w:p w:rsidR="00C472C6" w:rsidRPr="00BE6DDC" w:rsidRDefault="00C472C6" w:rsidP="00BE6DD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C472C6" w:rsidRPr="00BE6DDC" w:rsidSect="00BD7C0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7C" w:rsidRDefault="00526B7C" w:rsidP="00C472C6">
      <w:pPr>
        <w:spacing w:after="0" w:line="240" w:lineRule="auto"/>
      </w:pPr>
      <w:r>
        <w:separator/>
      </w:r>
    </w:p>
  </w:endnote>
  <w:endnote w:type="continuationSeparator" w:id="0">
    <w:p w:rsidR="00526B7C" w:rsidRDefault="00526B7C" w:rsidP="00C4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7C" w:rsidRDefault="00526B7C" w:rsidP="00C472C6">
      <w:pPr>
        <w:spacing w:after="0" w:line="240" w:lineRule="auto"/>
      </w:pPr>
      <w:r>
        <w:separator/>
      </w:r>
    </w:p>
  </w:footnote>
  <w:footnote w:type="continuationSeparator" w:id="0">
    <w:p w:rsidR="00526B7C" w:rsidRDefault="00526B7C" w:rsidP="00C472C6">
      <w:pPr>
        <w:spacing w:after="0" w:line="240" w:lineRule="auto"/>
      </w:pPr>
      <w:r>
        <w:continuationSeparator/>
      </w:r>
    </w:p>
  </w:footnote>
  <w:footnote w:id="1">
    <w:p w:rsidR="00C472C6" w:rsidRPr="00A002EC" w:rsidRDefault="00A002EC" w:rsidP="00A002EC">
      <w:pPr>
        <w:pStyle w:val="FootnoteText"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="00C472C6" w:rsidRPr="00A002EC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 xml:space="preserve">)انظر: الدرر السنية في الرد على الوهابية، 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أحمد زيني دحلان،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181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، وانظر: مقال الدجوي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 xml:space="preserve"> توحيد الألوهية وتوحيد الربوبية، مجلة نور الإسلام، المجلد الرابع،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255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2">
    <w:p w:rsidR="00C472C6" w:rsidRPr="00A002EC" w:rsidRDefault="00A002EC" w:rsidP="00A002EC">
      <w:pPr>
        <w:pStyle w:val="FootnoteText"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="00C472C6" w:rsidRPr="00A002EC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 xml:space="preserve">مجموع فتاوى ورسائل الشيخ محمد ابن عثيمين، جمع فهد السليمان،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1/83-84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C472C6" w:rsidRPr="00A002EC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569"/>
    <w:multiLevelType w:val="hybridMultilevel"/>
    <w:tmpl w:val="C5B8D924"/>
    <w:lvl w:ilvl="0" w:tplc="EED636A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C6"/>
    <w:rsid w:val="002078CA"/>
    <w:rsid w:val="002A5FB2"/>
    <w:rsid w:val="00526B7C"/>
    <w:rsid w:val="00573180"/>
    <w:rsid w:val="00695E8E"/>
    <w:rsid w:val="007B0909"/>
    <w:rsid w:val="007B50C5"/>
    <w:rsid w:val="00831E19"/>
    <w:rsid w:val="00A002EC"/>
    <w:rsid w:val="00A0350A"/>
    <w:rsid w:val="00A42E3B"/>
    <w:rsid w:val="00BD7C00"/>
    <w:rsid w:val="00BE6DDC"/>
    <w:rsid w:val="00C472C6"/>
    <w:rsid w:val="00F020EE"/>
    <w:rsid w:val="00FE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96ADB1-C7E5-4236-852A-758D3F10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72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2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2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6AE5-5E1D-4E70-BD1D-396BDBA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7</cp:revision>
  <cp:lastPrinted>2016-05-18T10:04:00Z</cp:lastPrinted>
  <dcterms:created xsi:type="dcterms:W3CDTF">2016-03-02T12:29:00Z</dcterms:created>
  <dcterms:modified xsi:type="dcterms:W3CDTF">2016-05-18T10:04:00Z</dcterms:modified>
</cp:coreProperties>
</file>