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3CB" w:rsidRDefault="009753CB" w:rsidP="009C2F52">
      <w:pPr>
        <w:spacing w:before="120" w:after="120" w:line="240" w:lineRule="auto"/>
        <w:ind w:firstLine="227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</w:pPr>
      <w:r w:rsidRPr="00E30AA4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>هل كل من أقرَّ بالربوبية يوصف أنه مقرٌّ بالألوهية؟</w:t>
      </w:r>
    </w:p>
    <w:p w:rsidR="00EE137E" w:rsidRPr="00E30AA4" w:rsidRDefault="00EE137E" w:rsidP="009C2F52">
      <w:pPr>
        <w:spacing w:before="120" w:after="120" w:line="240" w:lineRule="auto"/>
        <w:ind w:firstLine="227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</w:pPr>
    </w:p>
    <w:p w:rsidR="00646B3D" w:rsidRPr="00E30AA4" w:rsidRDefault="00E82273" w:rsidP="009C2F52">
      <w:pPr>
        <w:spacing w:before="120" w:after="120" w:line="240" w:lineRule="auto"/>
        <w:ind w:firstLine="227"/>
        <w:jc w:val="lowKashida"/>
        <w:rPr>
          <w:rFonts w:ascii="Traditional Arabic" w:hAnsi="Traditional Arabic" w:cs="Traditional Arabic"/>
          <w:sz w:val="32"/>
          <w:szCs w:val="32"/>
          <w:rtl/>
          <w:lang w:bidi="ar-EG"/>
        </w:rPr>
      </w:pPr>
      <w:r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شبهة </w:t>
      </w:r>
      <w:r w:rsidR="00646B3D"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>إثبات وصف الإقرار</w:t>
      </w:r>
      <w:r w:rsidR="0073013A"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646B3D"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بالألوهية لمن أقر</w:t>
      </w:r>
      <w:r w:rsidR="0073013A"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>َّ</w:t>
      </w:r>
      <w:r w:rsidR="00646B3D"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بالربوبية بحجة أن الرب هو الإله بعينه، مستدل</w:t>
      </w:r>
      <w:r w:rsidR="0073013A"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>ِّ</w:t>
      </w:r>
      <w:r w:rsidR="00646B3D"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>ين بسؤال الم</w:t>
      </w:r>
      <w:r w:rsidR="0073013A"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>َ</w:t>
      </w:r>
      <w:r w:rsidR="00646B3D"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>ل</w:t>
      </w:r>
      <w:r w:rsidR="0073013A"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>َ</w:t>
      </w:r>
      <w:r w:rsidR="00646B3D"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>ك</w:t>
      </w:r>
      <w:r w:rsidR="0073013A"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>َ</w:t>
      </w:r>
      <w:r w:rsidR="00646B3D"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>ي</w:t>
      </w:r>
      <w:r w:rsidR="0073013A"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>ْ</w:t>
      </w:r>
      <w:r w:rsidR="00646B3D"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>ن لمن في القبر: من ربك؟</w:t>
      </w:r>
      <w:r w:rsidR="0073013A" w:rsidRPr="00E30AA4">
        <w:rPr>
          <w:rFonts w:ascii="Traditional Arabic" w:hAnsi="Traditional Arabic" w:cs="Traditional Arabic"/>
          <w:sz w:val="32"/>
          <w:szCs w:val="32"/>
          <w:vertAlign w:val="superscript"/>
          <w:rtl/>
          <w:lang w:bidi="ar-EG"/>
        </w:rPr>
        <w:t>(</w:t>
      </w:r>
      <w:r w:rsidR="00646B3D" w:rsidRPr="00E30AA4">
        <w:rPr>
          <w:rStyle w:val="FootnoteReference"/>
          <w:rFonts w:ascii="Traditional Arabic" w:hAnsi="Traditional Arabic" w:cs="Traditional Arabic"/>
          <w:sz w:val="32"/>
          <w:szCs w:val="32"/>
          <w:rtl/>
          <w:lang w:bidi="ar-EG"/>
        </w:rPr>
        <w:footnoteReference w:id="1"/>
      </w:r>
      <w:r w:rsidR="0073013A" w:rsidRPr="00E30AA4">
        <w:rPr>
          <w:rFonts w:ascii="Traditional Arabic" w:hAnsi="Traditional Arabic" w:cs="Traditional Arabic"/>
          <w:sz w:val="32"/>
          <w:szCs w:val="32"/>
          <w:vertAlign w:val="superscript"/>
          <w:rtl/>
          <w:lang w:bidi="ar-EG"/>
        </w:rPr>
        <w:t>)</w:t>
      </w:r>
      <w:r w:rsidR="0073013A"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>،</w:t>
      </w:r>
      <w:r w:rsidR="00646B3D"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وفي تقرير هذه الشبهة يقول أحمد دحلان: </w:t>
      </w:r>
      <w:r w:rsidR="00606E4A" w:rsidRPr="00E30AA4">
        <w:rPr>
          <w:rFonts w:ascii="Traditional Arabic" w:hAnsi="Traditional Arabic" w:cs="Traditional Arabic"/>
          <w:color w:val="444444"/>
          <w:sz w:val="32"/>
          <w:szCs w:val="32"/>
          <w:shd w:val="clear" w:color="auto" w:fill="FFFFFF"/>
        </w:rPr>
        <w:t>»</w:t>
      </w:r>
      <w:r w:rsidR="00646B3D"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>ومن المعلوم أن من أقر</w:t>
      </w:r>
      <w:r w:rsidR="0073013A"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>َّ</w:t>
      </w:r>
      <w:r w:rsidR="00646B3D"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لله تعالى بالربوبية</w:t>
      </w:r>
      <w:r w:rsidR="0073013A"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>؛</w:t>
      </w:r>
      <w:r w:rsidR="00646B3D"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فقد </w:t>
      </w:r>
      <w:r w:rsidR="0073013A"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>أ</w:t>
      </w:r>
      <w:r w:rsidR="00646B3D"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>قر</w:t>
      </w:r>
      <w:r w:rsidR="0073013A"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>َّ</w:t>
      </w:r>
      <w:r w:rsidR="00646B3D"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له بالألوهية</w:t>
      </w:r>
      <w:r w:rsidR="0073013A"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>،</w:t>
      </w:r>
      <w:r w:rsidR="00646B3D"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إذ ليس الرب غير الإله، بل هو الإله بعينه</w:t>
      </w:r>
      <w:r w:rsidR="0073013A"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>؛</w:t>
      </w:r>
      <w:r w:rsidR="00646B3D"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وفي الحديث: إن الم</w:t>
      </w:r>
      <w:r w:rsidR="0073013A"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>َ</w:t>
      </w:r>
      <w:r w:rsidR="00646B3D"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>ل</w:t>
      </w:r>
      <w:r w:rsidR="0073013A"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>َ</w:t>
      </w:r>
      <w:r w:rsidR="00646B3D"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>ك</w:t>
      </w:r>
      <w:r w:rsidR="0073013A"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>َ</w:t>
      </w:r>
      <w:r w:rsidR="00646B3D"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>ي</w:t>
      </w:r>
      <w:r w:rsidR="0073013A"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>ْ</w:t>
      </w:r>
      <w:r w:rsidR="00646B3D"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>ن يسألان العبد</w:t>
      </w:r>
      <w:r w:rsidR="0073013A"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>َ</w:t>
      </w:r>
      <w:r w:rsidR="00646B3D"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في قبره، فيقولان له: من ربك؟ ولم يقولا له: من إلهك؟ فدل</w:t>
      </w:r>
      <w:r w:rsidR="0073013A"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>َّ</w:t>
      </w:r>
      <w:r w:rsidR="00646B3D"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على أن توحيد الربوبية هو توحيد الألوهية</w:t>
      </w:r>
      <w:r w:rsidR="00606E4A" w:rsidRPr="00E30AA4">
        <w:rPr>
          <w:rFonts w:ascii="Traditional Arabic" w:hAnsi="Traditional Arabic" w:cs="Traditional Arabic"/>
          <w:color w:val="444444"/>
          <w:sz w:val="32"/>
          <w:szCs w:val="32"/>
          <w:shd w:val="clear" w:color="auto" w:fill="FFFFFF"/>
        </w:rPr>
        <w:t>«</w:t>
      </w:r>
      <w:r w:rsidR="00606E4A" w:rsidRPr="00E30AA4">
        <w:rPr>
          <w:rFonts w:ascii="Traditional Arabic" w:hAnsi="Traditional Arabic" w:cs="Traditional Arabic"/>
          <w:sz w:val="32"/>
          <w:szCs w:val="32"/>
          <w:vertAlign w:val="superscript"/>
          <w:rtl/>
          <w:lang w:bidi="ar-EG"/>
        </w:rPr>
        <w:t xml:space="preserve"> </w:t>
      </w:r>
      <w:r w:rsidR="0073013A" w:rsidRPr="00E30AA4">
        <w:rPr>
          <w:rFonts w:ascii="Traditional Arabic" w:hAnsi="Traditional Arabic" w:cs="Traditional Arabic"/>
          <w:sz w:val="32"/>
          <w:szCs w:val="32"/>
          <w:vertAlign w:val="superscript"/>
          <w:rtl/>
          <w:lang w:bidi="ar-EG"/>
        </w:rPr>
        <w:t>(</w:t>
      </w:r>
      <w:r w:rsidR="00646B3D" w:rsidRPr="00E30AA4">
        <w:rPr>
          <w:rStyle w:val="FootnoteReference"/>
          <w:rFonts w:ascii="Traditional Arabic" w:hAnsi="Traditional Arabic" w:cs="Traditional Arabic"/>
          <w:sz w:val="32"/>
          <w:szCs w:val="32"/>
          <w:rtl/>
          <w:lang w:bidi="ar-EG"/>
        </w:rPr>
        <w:footnoteReference w:id="2"/>
      </w:r>
      <w:r w:rsidR="0073013A" w:rsidRPr="00E30AA4">
        <w:rPr>
          <w:rFonts w:ascii="Traditional Arabic" w:hAnsi="Traditional Arabic" w:cs="Traditional Arabic"/>
          <w:sz w:val="32"/>
          <w:szCs w:val="32"/>
          <w:vertAlign w:val="superscript"/>
          <w:rtl/>
          <w:lang w:bidi="ar-EG"/>
        </w:rPr>
        <w:t>)</w:t>
      </w:r>
      <w:r w:rsidR="00646B3D"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>.</w:t>
      </w:r>
    </w:p>
    <w:p w:rsidR="00646B3D" w:rsidRPr="00E30AA4" w:rsidRDefault="00646B3D" w:rsidP="009C2F52">
      <w:pPr>
        <w:spacing w:before="120" w:after="120" w:line="240" w:lineRule="auto"/>
        <w:ind w:firstLine="227"/>
        <w:jc w:val="lowKashida"/>
        <w:rPr>
          <w:rFonts w:ascii="Traditional Arabic" w:hAnsi="Traditional Arabic" w:cs="Traditional Arabic"/>
          <w:sz w:val="32"/>
          <w:szCs w:val="32"/>
          <w:rtl/>
          <w:lang w:bidi="ar-EG"/>
        </w:rPr>
      </w:pPr>
      <w:r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>الرد:</w:t>
      </w:r>
    </w:p>
    <w:p w:rsidR="0073013A" w:rsidRPr="00E30AA4" w:rsidRDefault="0073013A" w:rsidP="009C2F52">
      <w:pPr>
        <w:spacing w:before="120" w:after="120" w:line="240" w:lineRule="auto"/>
        <w:ind w:firstLine="227"/>
        <w:jc w:val="lowKashida"/>
        <w:rPr>
          <w:rFonts w:ascii="Traditional Arabic" w:hAnsi="Traditional Arabic" w:cs="Traditional Arabic"/>
          <w:sz w:val="32"/>
          <w:szCs w:val="32"/>
          <w:rtl/>
          <w:lang w:bidi="ar-EG"/>
        </w:rPr>
      </w:pPr>
      <w:r w:rsidRPr="00E30AA4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EG"/>
        </w:rPr>
        <w:t>أولًا:</w:t>
      </w:r>
      <w:r w:rsidR="00204610"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>ذكر</w:t>
      </w:r>
      <w:r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="00204610"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الألوهية حاصل</w:t>
      </w:r>
      <w:r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>ٌ</w:t>
      </w:r>
      <w:r w:rsidR="00204610"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هنا بدلالة اللزوم</w:t>
      </w:r>
      <w:r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>؛</w:t>
      </w:r>
      <w:r w:rsidR="00204610"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فالإشهاد على الربوبية والإقرار بها له لازم يجب أن لا ينفك عنه</w:t>
      </w:r>
      <w:r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>،</w:t>
      </w:r>
      <w:r w:rsidR="00204610"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وهو حصر</w:t>
      </w:r>
      <w:r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="00204610"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استحقاق</w:t>
      </w:r>
      <w:r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204610"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العبادة بالرب</w:t>
      </w:r>
      <w:r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>ِّ</w:t>
      </w:r>
      <w:r w:rsidR="00204610"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الخالق المالك وحده سبحانه دون سواه</w:t>
      </w:r>
      <w:r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>؛</w:t>
      </w:r>
      <w:r w:rsidR="00204610"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قال الشيخ محمد بشير السهسواني: </w:t>
      </w:r>
      <w:r w:rsidR="00606E4A" w:rsidRPr="00E30AA4">
        <w:rPr>
          <w:rFonts w:ascii="Traditional Arabic" w:hAnsi="Traditional Arabic" w:cs="Traditional Arabic"/>
          <w:color w:val="444444"/>
          <w:sz w:val="32"/>
          <w:szCs w:val="32"/>
          <w:shd w:val="clear" w:color="auto" w:fill="FFFFFF"/>
        </w:rPr>
        <w:t>»</w:t>
      </w:r>
      <w:r w:rsidR="00204610"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>إن الإقرار بتوح</w:t>
      </w:r>
      <w:r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>ي</w:t>
      </w:r>
      <w:r w:rsidR="00204610"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>د الربوبية مع ل</w:t>
      </w:r>
      <w:r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204610"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>حاظ قضية ب</w:t>
      </w:r>
      <w:r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>َ</w:t>
      </w:r>
      <w:r w:rsidR="00204610"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>د</w:t>
      </w:r>
      <w:r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>َ</w:t>
      </w:r>
      <w:r w:rsidR="00204610"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>هية، وهي: أن غير الرب لا يستحق العبادة يقتضي الإقرار بتوحيد الألوهية عند من له عقل</w:t>
      </w:r>
      <w:r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>ٌ</w:t>
      </w:r>
      <w:r w:rsidR="00204610"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سليم وفهم</w:t>
      </w:r>
      <w:r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>ٌ</w:t>
      </w:r>
      <w:r w:rsidR="00204610"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مستقيم، فيكون الإقرار المذكور حجة</w:t>
      </w:r>
      <w:r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>ً</w:t>
      </w:r>
      <w:r w:rsidR="00204610"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عليهم، كما احتج</w:t>
      </w:r>
      <w:r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>َّ</w:t>
      </w:r>
      <w:r w:rsidR="00204610"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الله</w:t>
      </w:r>
      <w:r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="00204610"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تعالى على المشركين بتوحيد</w:t>
      </w:r>
      <w:r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204610"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الرازق</w:t>
      </w:r>
      <w:r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204610"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ومالك</w:t>
      </w:r>
      <w:r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204610"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السمع</w:t>
      </w:r>
      <w:r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204610"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والأبصار... على وحدانية الألوهية</w:t>
      </w:r>
      <w:r w:rsidR="00606E4A" w:rsidRPr="00E30AA4">
        <w:rPr>
          <w:rFonts w:ascii="Traditional Arabic" w:hAnsi="Traditional Arabic" w:cs="Traditional Arabic"/>
          <w:color w:val="444444"/>
          <w:sz w:val="32"/>
          <w:szCs w:val="32"/>
          <w:shd w:val="clear" w:color="auto" w:fill="FFFFFF"/>
        </w:rPr>
        <w:t>«</w:t>
      </w:r>
      <w:r w:rsidR="00606E4A" w:rsidRPr="00E30AA4">
        <w:rPr>
          <w:rFonts w:ascii="Traditional Arabic" w:hAnsi="Traditional Arabic" w:cs="Traditional Arabic"/>
          <w:sz w:val="32"/>
          <w:szCs w:val="32"/>
          <w:vertAlign w:val="superscript"/>
          <w:rtl/>
          <w:lang w:bidi="ar-EG"/>
        </w:rPr>
        <w:t xml:space="preserve"> </w:t>
      </w:r>
      <w:r w:rsidRPr="00E30AA4">
        <w:rPr>
          <w:rFonts w:ascii="Traditional Arabic" w:hAnsi="Traditional Arabic" w:cs="Traditional Arabic"/>
          <w:sz w:val="32"/>
          <w:szCs w:val="32"/>
          <w:vertAlign w:val="superscript"/>
          <w:rtl/>
          <w:lang w:bidi="ar-EG"/>
        </w:rPr>
        <w:t>(</w:t>
      </w:r>
      <w:r w:rsidR="00204610" w:rsidRPr="00E30AA4">
        <w:rPr>
          <w:rStyle w:val="FootnoteReference"/>
          <w:rFonts w:ascii="Traditional Arabic" w:hAnsi="Traditional Arabic" w:cs="Traditional Arabic"/>
          <w:sz w:val="32"/>
          <w:szCs w:val="32"/>
          <w:rtl/>
          <w:lang w:bidi="ar-EG"/>
        </w:rPr>
        <w:footnoteReference w:id="3"/>
      </w:r>
      <w:r w:rsidRPr="00E30AA4">
        <w:rPr>
          <w:rFonts w:ascii="Traditional Arabic" w:hAnsi="Traditional Arabic" w:cs="Traditional Arabic"/>
          <w:sz w:val="32"/>
          <w:szCs w:val="32"/>
          <w:vertAlign w:val="superscript"/>
          <w:rtl/>
          <w:lang w:bidi="ar-EG"/>
        </w:rPr>
        <w:t>)</w:t>
      </w:r>
      <w:r w:rsidR="00204610"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>.</w:t>
      </w:r>
    </w:p>
    <w:p w:rsidR="00204610" w:rsidRPr="00E30AA4" w:rsidRDefault="0073013A" w:rsidP="009C2F52">
      <w:pPr>
        <w:spacing w:before="120" w:after="120" w:line="240" w:lineRule="auto"/>
        <w:ind w:firstLine="227"/>
        <w:jc w:val="lowKashida"/>
        <w:rPr>
          <w:rFonts w:ascii="Traditional Arabic" w:hAnsi="Traditional Arabic" w:cs="Traditional Arabic"/>
          <w:sz w:val="32"/>
          <w:szCs w:val="32"/>
          <w:lang w:bidi="ar-EG"/>
        </w:rPr>
      </w:pPr>
      <w:r w:rsidRPr="00E30AA4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EG"/>
        </w:rPr>
        <w:t>ثانيًا:</w:t>
      </w:r>
      <w:r w:rsidR="0025258F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EG"/>
        </w:rPr>
        <w:t xml:space="preserve"> </w:t>
      </w:r>
      <w:r w:rsidR="00204610"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>لفظ</w:t>
      </w:r>
      <w:r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="00204610"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(الرب</w:t>
      </w:r>
      <w:r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>َّ</w:t>
      </w:r>
      <w:r w:rsidR="00204610"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>) و(الإله) يجتمعان في دلالة أحدهما على الآخر في نفس الأمر، فالرب</w:t>
      </w:r>
      <w:r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>ُّ</w:t>
      </w:r>
      <w:r w:rsidR="00204610"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هو المستح</w:t>
      </w:r>
      <w:r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204610"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>ق للألوهية، والإله الحق لابد وأن يكون خالقًا رازقًا، وهذا الأمر لا يكون إلا في حق</w:t>
      </w:r>
      <w:r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>ِّ</w:t>
      </w:r>
      <w:r w:rsidR="00204610"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الله </w:t>
      </w:r>
      <w:r w:rsidR="009C2F52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سبحانه وتعالى</w:t>
      </w:r>
      <w:r w:rsidR="00204610"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، فقوله في الآية: </w:t>
      </w:r>
      <w:r w:rsidR="00E30AA4"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{أَلَسْتُ بِرَبِّكُمْ} [الأعراف: 172] </w:t>
      </w:r>
      <w:r w:rsidR="00204610"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>دال</w:t>
      </w:r>
      <w:r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>ٌّ</w:t>
      </w:r>
      <w:r w:rsidR="00204610"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على معنى الألوهية، إذ إفراده بالربوبية مست</w:t>
      </w:r>
      <w:r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>َ</w:t>
      </w:r>
      <w:r w:rsidR="00204610"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>ل</w:t>
      </w:r>
      <w:r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>ْ</w:t>
      </w:r>
      <w:r w:rsidR="00204610"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>ز</w:t>
      </w:r>
      <w:r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204610"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>م لإفراده بالعبادة، أما ما ع</w:t>
      </w:r>
      <w:r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="00204610"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>ب</w:t>
      </w:r>
      <w:r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204610"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>د</w:t>
      </w:r>
      <w:r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>َ</w:t>
      </w:r>
      <w:r w:rsidR="00204610"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من دون الله تعالى في</w:t>
      </w:r>
      <w:r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="00204610"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>سم</w:t>
      </w:r>
      <w:r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>َّ</w:t>
      </w:r>
      <w:r w:rsidR="00204610"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>ى إلهًا باعتبار حصول تلك العبادة له</w:t>
      </w:r>
      <w:r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>،</w:t>
      </w:r>
      <w:r w:rsidR="00204610"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لا باعتبار استحقاقه لها أو حصول موجبها وهو الربوبية.</w:t>
      </w:r>
    </w:p>
    <w:p w:rsidR="0073013A" w:rsidRPr="00E30AA4" w:rsidRDefault="0073013A" w:rsidP="009C2F52">
      <w:pPr>
        <w:spacing w:before="120" w:after="120" w:line="240" w:lineRule="auto"/>
        <w:ind w:firstLine="227"/>
        <w:jc w:val="lowKashida"/>
        <w:rPr>
          <w:rFonts w:ascii="Traditional Arabic" w:hAnsi="Traditional Arabic" w:cs="Traditional Arabic"/>
          <w:sz w:val="32"/>
          <w:szCs w:val="32"/>
          <w:rtl/>
          <w:lang w:bidi="ar-EG"/>
        </w:rPr>
      </w:pPr>
      <w:r w:rsidRPr="00E30AA4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EG"/>
        </w:rPr>
        <w:t>ثالثًا:</w:t>
      </w:r>
      <w:r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أما </w:t>
      </w:r>
      <w:r w:rsidR="00204610"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قول: </w:t>
      </w:r>
      <w:r w:rsidR="00606E4A" w:rsidRPr="00E30AA4">
        <w:rPr>
          <w:rFonts w:ascii="Traditional Arabic" w:hAnsi="Traditional Arabic" w:cs="Traditional Arabic"/>
          <w:color w:val="444444"/>
          <w:sz w:val="32"/>
          <w:szCs w:val="32"/>
          <w:shd w:val="clear" w:color="auto" w:fill="FFFFFF"/>
        </w:rPr>
        <w:t>»</w:t>
      </w:r>
      <w:r w:rsidR="00204610"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>من المعلوم أن من أقر</w:t>
      </w:r>
      <w:r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>َّ</w:t>
      </w:r>
      <w:r w:rsidR="00204610"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لله تعالى بالربوبية فقد أقر</w:t>
      </w:r>
      <w:r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>َّ</w:t>
      </w:r>
      <w:r w:rsidR="00204610"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له بالألوهية</w:t>
      </w:r>
      <w:r w:rsidR="00606E4A" w:rsidRPr="00E30AA4">
        <w:rPr>
          <w:rFonts w:ascii="Traditional Arabic" w:hAnsi="Traditional Arabic" w:cs="Traditional Arabic"/>
          <w:color w:val="444444"/>
          <w:sz w:val="32"/>
          <w:szCs w:val="32"/>
          <w:shd w:val="clear" w:color="auto" w:fill="FFFFFF"/>
        </w:rPr>
        <w:t>«</w:t>
      </w:r>
      <w:r w:rsidR="00204610"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مخالف للنصوص الكثيرة الصريحة بأن المشركين كان</w:t>
      </w:r>
      <w:r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>وا</w:t>
      </w:r>
      <w:r w:rsidR="00204610"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مقر</w:t>
      </w:r>
      <w:r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>ِّ</w:t>
      </w:r>
      <w:r w:rsidR="00204610"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>ين لله تعالى بالربوبية، وأنهم يعبدون هذه الآلهة لتقر</w:t>
      </w:r>
      <w:r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>ِّ</w:t>
      </w:r>
      <w:r w:rsidR="00204610"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>بهم إلى الله تعالى ز</w:t>
      </w:r>
      <w:r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="00204610"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>ل</w:t>
      </w:r>
      <w:r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>ْفى.</w:t>
      </w:r>
    </w:p>
    <w:p w:rsidR="0073013A" w:rsidRPr="00E30AA4" w:rsidRDefault="0073013A" w:rsidP="009C2F52">
      <w:pPr>
        <w:spacing w:before="120" w:after="120" w:line="240" w:lineRule="auto"/>
        <w:ind w:firstLine="227"/>
        <w:jc w:val="lowKashida"/>
        <w:rPr>
          <w:rFonts w:ascii="Traditional Arabic" w:hAnsi="Traditional Arabic" w:cs="Traditional Arabic"/>
          <w:sz w:val="32"/>
          <w:szCs w:val="32"/>
          <w:rtl/>
          <w:lang w:bidi="ar-EG"/>
        </w:rPr>
      </w:pPr>
      <w:r w:rsidRPr="00E30AA4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EG"/>
        </w:rPr>
        <w:lastRenderedPageBreak/>
        <w:t>رابعًا:</w:t>
      </w:r>
      <w:r w:rsidR="0025258F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EG"/>
        </w:rPr>
        <w:t xml:space="preserve"> </w:t>
      </w:r>
      <w:r w:rsidR="00204610"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>الاستدلال بسؤال الم</w:t>
      </w:r>
      <w:r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>َ</w:t>
      </w:r>
      <w:r w:rsidR="00204610"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>ل</w:t>
      </w:r>
      <w:r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>َ</w:t>
      </w:r>
      <w:r w:rsidR="00204610"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>ك</w:t>
      </w:r>
      <w:r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>َ</w:t>
      </w:r>
      <w:r w:rsidR="00204610"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>ي</w:t>
      </w:r>
      <w:r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>ْ</w:t>
      </w:r>
      <w:r w:rsidR="00204610"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>ن للرجل في قبره: من ربك؟ ولا يقولان له: من إلهك، فهو لا يدل</w:t>
      </w:r>
      <w:r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>ُّ</w:t>
      </w:r>
      <w:r w:rsidR="00204610"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على اتحاد الربوبية والألوهية في المعنى</w:t>
      </w:r>
      <w:r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>؛</w:t>
      </w:r>
      <w:r w:rsidR="00204610"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يقول شيخ الإسلام ابن تيمية </w:t>
      </w:r>
      <w:r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- </w:t>
      </w:r>
      <w:r w:rsidR="00204610"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>رحمه الله</w:t>
      </w:r>
      <w:r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-</w:t>
      </w:r>
      <w:r w:rsidR="00204610"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: </w:t>
      </w:r>
      <w:r w:rsidR="00606E4A" w:rsidRPr="00E30AA4">
        <w:rPr>
          <w:rFonts w:ascii="Traditional Arabic" w:hAnsi="Traditional Arabic" w:cs="Traditional Arabic"/>
          <w:color w:val="444444"/>
          <w:sz w:val="32"/>
          <w:szCs w:val="32"/>
          <w:shd w:val="clear" w:color="auto" w:fill="FFFFFF"/>
        </w:rPr>
        <w:t>»</w:t>
      </w:r>
      <w:r w:rsidR="00204610"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>المقصود هنا بيان حال العبد المحض</w:t>
      </w:r>
      <w:r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>ِّ</w:t>
      </w:r>
      <w:r w:rsidR="00204610"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لله الذي يعبده ويستعينه فيعمل له ويستعينه، ويحق</w:t>
      </w:r>
      <w:r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>ِّ</w:t>
      </w:r>
      <w:r w:rsidR="00204610"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ق قوله: </w:t>
      </w:r>
      <w:r w:rsidR="00E30AA4"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>{إِيَّاكَ نَعْبُدُ وَإِيَّاكَ نَسْتَعِينُ} [الفاتحة: 5]</w:t>
      </w:r>
      <w:r w:rsidR="00204610"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>، توحيد الإلهية وتوحيد الربوبية، وإن كانت الإلهية تتضمن الربوبية، والربوبية تستلزم الإلهية، فإن أحد</w:t>
      </w:r>
      <w:r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>َ</w:t>
      </w:r>
      <w:r w:rsidR="00204610"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>هما إذا تضم</w:t>
      </w:r>
      <w:r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>َّ</w:t>
      </w:r>
      <w:r w:rsidR="00204610"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>ن الآخر عند الانفراد، لم يمنع أن يختص</w:t>
      </w:r>
      <w:r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>َّ</w:t>
      </w:r>
      <w:r w:rsidR="00204610"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بمعناه عند الاقتران</w:t>
      </w:r>
      <w:r w:rsidR="00606E4A" w:rsidRPr="00E30AA4">
        <w:rPr>
          <w:rFonts w:ascii="Traditional Arabic" w:hAnsi="Traditional Arabic" w:cs="Traditional Arabic"/>
          <w:color w:val="444444"/>
          <w:sz w:val="32"/>
          <w:szCs w:val="32"/>
          <w:shd w:val="clear" w:color="auto" w:fill="FFFFFF"/>
        </w:rPr>
        <w:t>«</w:t>
      </w:r>
      <w:r w:rsidR="00606E4A" w:rsidRPr="00E30AA4">
        <w:rPr>
          <w:rFonts w:ascii="Traditional Arabic" w:hAnsi="Traditional Arabic" w:cs="Traditional Arabic"/>
          <w:sz w:val="32"/>
          <w:szCs w:val="32"/>
          <w:vertAlign w:val="superscript"/>
          <w:rtl/>
          <w:lang w:bidi="ar-EG"/>
        </w:rPr>
        <w:t xml:space="preserve"> </w:t>
      </w:r>
      <w:r w:rsidRPr="00E30AA4">
        <w:rPr>
          <w:rFonts w:ascii="Traditional Arabic" w:hAnsi="Traditional Arabic" w:cs="Traditional Arabic"/>
          <w:sz w:val="32"/>
          <w:szCs w:val="32"/>
          <w:vertAlign w:val="superscript"/>
          <w:rtl/>
          <w:lang w:bidi="ar-EG"/>
        </w:rPr>
        <w:t>(</w:t>
      </w:r>
      <w:r w:rsidR="00204610" w:rsidRPr="00E30AA4">
        <w:rPr>
          <w:rStyle w:val="FootnoteReference"/>
          <w:rFonts w:ascii="Traditional Arabic" w:hAnsi="Traditional Arabic" w:cs="Traditional Arabic"/>
          <w:sz w:val="32"/>
          <w:szCs w:val="32"/>
          <w:rtl/>
          <w:lang w:bidi="ar-EG"/>
        </w:rPr>
        <w:footnoteReference w:id="4"/>
      </w:r>
      <w:r w:rsidRPr="00E30AA4">
        <w:rPr>
          <w:rFonts w:ascii="Traditional Arabic" w:hAnsi="Traditional Arabic" w:cs="Traditional Arabic"/>
          <w:sz w:val="32"/>
          <w:szCs w:val="32"/>
          <w:vertAlign w:val="superscript"/>
          <w:rtl/>
          <w:lang w:bidi="ar-EG"/>
        </w:rPr>
        <w:t>)</w:t>
      </w:r>
      <w:r w:rsidR="00204610"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>.</w:t>
      </w:r>
    </w:p>
    <w:p w:rsidR="00500D76" w:rsidRPr="00E30AA4" w:rsidRDefault="0073013A" w:rsidP="009C2F52">
      <w:pPr>
        <w:spacing w:before="120" w:after="120" w:line="240" w:lineRule="auto"/>
        <w:ind w:firstLine="227"/>
        <w:jc w:val="lowKashida"/>
        <w:rPr>
          <w:rFonts w:ascii="Traditional Arabic" w:hAnsi="Traditional Arabic" w:cs="Traditional Arabic"/>
          <w:sz w:val="32"/>
          <w:szCs w:val="32"/>
          <w:rtl/>
          <w:lang w:bidi="ar-EG"/>
        </w:rPr>
      </w:pPr>
      <w:r w:rsidRPr="00E30AA4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EG"/>
        </w:rPr>
        <w:t>خامسًا:</w:t>
      </w:r>
      <w:r w:rsidR="0025258F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EG"/>
        </w:rPr>
        <w:t xml:space="preserve"> </w:t>
      </w:r>
      <w:r w:rsidR="00204610"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قال الشيخ محمد بن عبد الوهاب </w:t>
      </w:r>
      <w:r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- </w:t>
      </w:r>
      <w:r w:rsidR="00204610"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>رحمه الله</w:t>
      </w:r>
      <w:r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-</w:t>
      </w:r>
      <w:r w:rsidR="00204610"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>:</w:t>
      </w:r>
      <w:r w:rsidR="00606E4A"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="00606E4A" w:rsidRPr="00E30AA4">
        <w:rPr>
          <w:rFonts w:ascii="Traditional Arabic" w:hAnsi="Traditional Arabic" w:cs="Traditional Arabic"/>
          <w:color w:val="444444"/>
          <w:sz w:val="32"/>
          <w:szCs w:val="32"/>
          <w:shd w:val="clear" w:color="auto" w:fill="FFFFFF"/>
        </w:rPr>
        <w:t>»</w:t>
      </w:r>
      <w:r w:rsidR="00500D76"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اعلم أن الربوبية والألوهية يجتمعان ويفترقان؛ </w:t>
      </w:r>
      <w:r w:rsidR="00204610"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>كما في قوله تعالى:</w:t>
      </w:r>
      <w:r w:rsidR="00E30AA4" w:rsidRPr="00E30AA4">
        <w:rPr>
          <w:rFonts w:ascii="Traditional Arabic" w:hAnsi="Traditional Arabic" w:cs="Traditional Arabic"/>
          <w:rtl/>
        </w:rPr>
        <w:t xml:space="preserve"> </w:t>
      </w:r>
      <w:r w:rsidR="00E30AA4"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>{قُلْ أَعُوذُ بِرَبِّ النَّاسِ (1) مَلِكِ النَّاسِ (2) إِلَهِ النَّاسِ} [الناس: 1 - 3]</w:t>
      </w:r>
      <w:r w:rsidR="009C2F52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، </w:t>
      </w:r>
      <w:r w:rsidR="00500D76"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>وكما يُقال: (ربُّ العالمين وإله المرسلين)، وعند الإفراد يجتمعان كما في قول القائل: من رَّبك؟ إذا ثبت هذا فقول المَلَ</w:t>
      </w:r>
      <w:bookmarkStart w:id="0" w:name="_GoBack"/>
      <w:bookmarkEnd w:id="0"/>
      <w:r w:rsidR="00500D76"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>كَيْن للرجل في القبر: من ربك؟ معناه: من إلهك؟ لأن الربوبية التي أقرَّ بها المشركون ما يُمتحن أحد بها ... فالربوبية في هذا هي الألوهية، ليست قسيمةً لها، كما تكون قسيمةً لها عند الاقتران</w:t>
      </w:r>
      <w:r w:rsidR="00606E4A" w:rsidRPr="00E30AA4">
        <w:rPr>
          <w:rFonts w:ascii="Traditional Arabic" w:hAnsi="Traditional Arabic" w:cs="Traditional Arabic"/>
          <w:color w:val="444444"/>
          <w:sz w:val="32"/>
          <w:szCs w:val="32"/>
          <w:shd w:val="clear" w:color="auto" w:fill="FFFFFF"/>
        </w:rPr>
        <w:t>«</w:t>
      </w:r>
      <w:r w:rsidR="00606E4A" w:rsidRPr="00E30AA4">
        <w:rPr>
          <w:rFonts w:ascii="Traditional Arabic" w:hAnsi="Traditional Arabic" w:cs="Traditional Arabic"/>
          <w:sz w:val="32"/>
          <w:szCs w:val="32"/>
          <w:vertAlign w:val="superscript"/>
          <w:rtl/>
          <w:lang w:bidi="ar-EG"/>
        </w:rPr>
        <w:t xml:space="preserve"> </w:t>
      </w:r>
      <w:r w:rsidR="00500D76" w:rsidRPr="00E30AA4">
        <w:rPr>
          <w:rFonts w:ascii="Traditional Arabic" w:hAnsi="Traditional Arabic" w:cs="Traditional Arabic"/>
          <w:sz w:val="32"/>
          <w:szCs w:val="32"/>
          <w:vertAlign w:val="superscript"/>
          <w:rtl/>
          <w:lang w:bidi="ar-EG"/>
        </w:rPr>
        <w:t>(</w:t>
      </w:r>
      <w:r w:rsidR="00500D76" w:rsidRPr="00E30AA4">
        <w:rPr>
          <w:rStyle w:val="FootnoteReference"/>
          <w:rFonts w:ascii="Traditional Arabic" w:hAnsi="Traditional Arabic" w:cs="Traditional Arabic"/>
          <w:sz w:val="32"/>
          <w:szCs w:val="32"/>
          <w:rtl/>
          <w:lang w:bidi="ar-EG"/>
        </w:rPr>
        <w:footnoteReference w:id="5"/>
      </w:r>
      <w:r w:rsidR="00500D76" w:rsidRPr="00E30AA4">
        <w:rPr>
          <w:rFonts w:ascii="Traditional Arabic" w:hAnsi="Traditional Arabic" w:cs="Traditional Arabic"/>
          <w:sz w:val="32"/>
          <w:szCs w:val="32"/>
          <w:vertAlign w:val="superscript"/>
          <w:rtl/>
          <w:lang w:bidi="ar-EG"/>
        </w:rPr>
        <w:t>)</w:t>
      </w:r>
      <w:r w:rsidR="00500D76" w:rsidRPr="00E30AA4">
        <w:rPr>
          <w:rFonts w:ascii="Traditional Arabic" w:hAnsi="Traditional Arabic" w:cs="Traditional Arabic"/>
          <w:sz w:val="32"/>
          <w:szCs w:val="32"/>
          <w:rtl/>
          <w:lang w:bidi="ar-EG"/>
        </w:rPr>
        <w:t>.</w:t>
      </w:r>
    </w:p>
    <w:sectPr w:rsidR="00500D76" w:rsidRPr="00E30AA4" w:rsidSect="00EE137E">
      <w:pgSz w:w="11906" w:h="16838"/>
      <w:pgMar w:top="1440" w:right="1800" w:bottom="1440" w:left="1800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584" w:rsidRDefault="00CE3584" w:rsidP="00646B3D">
      <w:pPr>
        <w:spacing w:after="0" w:line="240" w:lineRule="auto"/>
      </w:pPr>
      <w:r>
        <w:separator/>
      </w:r>
    </w:p>
  </w:endnote>
  <w:endnote w:type="continuationSeparator" w:id="0">
    <w:p w:rsidR="00CE3584" w:rsidRDefault="00CE3584" w:rsidP="00646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584" w:rsidRDefault="00CE3584" w:rsidP="00646B3D">
      <w:pPr>
        <w:spacing w:after="0" w:line="240" w:lineRule="auto"/>
      </w:pPr>
      <w:r>
        <w:separator/>
      </w:r>
    </w:p>
  </w:footnote>
  <w:footnote w:type="continuationSeparator" w:id="0">
    <w:p w:rsidR="00CE3584" w:rsidRDefault="00CE3584" w:rsidP="00646B3D">
      <w:pPr>
        <w:spacing w:after="0" w:line="240" w:lineRule="auto"/>
      </w:pPr>
      <w:r>
        <w:continuationSeparator/>
      </w:r>
    </w:p>
  </w:footnote>
  <w:footnote w:id="1">
    <w:p w:rsidR="00646B3D" w:rsidRPr="00E30AA4" w:rsidRDefault="009753CB" w:rsidP="009753CB">
      <w:pPr>
        <w:pStyle w:val="FootnoteText"/>
        <w:jc w:val="both"/>
        <w:rPr>
          <w:rFonts w:ascii="Traditional Arabic" w:hAnsi="Traditional Arabic" w:cs="Traditional Arabic"/>
          <w:sz w:val="28"/>
          <w:szCs w:val="28"/>
          <w:rtl/>
          <w:lang w:bidi="ar-EG"/>
        </w:rPr>
      </w:pPr>
      <w:r w:rsidRPr="00E30AA4">
        <w:rPr>
          <w:rFonts w:ascii="Traditional Arabic" w:hAnsi="Traditional Arabic" w:cs="Traditional Arabic"/>
          <w:sz w:val="28"/>
          <w:szCs w:val="28"/>
          <w:rtl/>
        </w:rPr>
        <w:t>(</w:t>
      </w:r>
      <w:r w:rsidRPr="00E30AA4">
        <w:rPr>
          <w:rStyle w:val="FootnoteReference"/>
          <w:rFonts w:ascii="Traditional Arabic" w:hAnsi="Traditional Arabic" w:cs="Traditional Arabic"/>
          <w:sz w:val="28"/>
          <w:szCs w:val="28"/>
          <w:vertAlign w:val="baseline"/>
        </w:rPr>
        <w:footnoteRef/>
      </w:r>
      <w:r w:rsidRPr="00E30AA4">
        <w:rPr>
          <w:rFonts w:ascii="Traditional Arabic" w:hAnsi="Traditional Arabic" w:cs="Traditional Arabic"/>
          <w:sz w:val="28"/>
          <w:szCs w:val="28"/>
          <w:rtl/>
        </w:rPr>
        <w:t>)</w:t>
      </w:r>
      <w:r w:rsidR="00646B3D" w:rsidRPr="00E30AA4">
        <w:rPr>
          <w:rFonts w:ascii="Traditional Arabic" w:hAnsi="Traditional Arabic" w:cs="Traditional Arabic"/>
          <w:sz w:val="28"/>
          <w:szCs w:val="28"/>
          <w:rtl/>
          <w:lang w:bidi="ar-EG"/>
        </w:rPr>
        <w:t>الحديث في صحيح مسلم</w:t>
      </w:r>
      <w:r w:rsidRPr="00E30AA4">
        <w:rPr>
          <w:rFonts w:ascii="Traditional Arabic" w:hAnsi="Traditional Arabic" w:cs="Traditional Arabic"/>
          <w:sz w:val="28"/>
          <w:szCs w:val="28"/>
          <w:rtl/>
          <w:lang w:bidi="ar-EG"/>
        </w:rPr>
        <w:t>،كتاب الجنة وصفة نعيمها وأ</w:t>
      </w:r>
      <w:r w:rsidR="00646B3D" w:rsidRPr="00E30AA4">
        <w:rPr>
          <w:rFonts w:ascii="Traditional Arabic" w:hAnsi="Traditional Arabic" w:cs="Traditional Arabic"/>
          <w:sz w:val="28"/>
          <w:szCs w:val="28"/>
          <w:rtl/>
          <w:lang w:bidi="ar-EG"/>
        </w:rPr>
        <w:t>هلها</w:t>
      </w:r>
      <w:r w:rsidRPr="00E30AA4">
        <w:rPr>
          <w:rFonts w:ascii="Traditional Arabic" w:hAnsi="Traditional Arabic" w:cs="Traditional Arabic"/>
          <w:sz w:val="28"/>
          <w:szCs w:val="28"/>
          <w:rtl/>
          <w:lang w:bidi="ar-EG"/>
        </w:rPr>
        <w:t>،</w:t>
      </w:r>
      <w:r w:rsidR="00646B3D" w:rsidRPr="00E30AA4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 باب عرض مقعد الميت من الجنة أو النار عليه</w:t>
      </w:r>
      <w:r w:rsidRPr="00E30AA4">
        <w:rPr>
          <w:rFonts w:ascii="Traditional Arabic" w:hAnsi="Traditional Arabic" w:cs="Traditional Arabic"/>
          <w:sz w:val="28"/>
          <w:szCs w:val="28"/>
          <w:rtl/>
          <w:lang w:bidi="ar-EG"/>
        </w:rPr>
        <w:t>،(</w:t>
      </w:r>
      <w:r w:rsidR="00646B3D" w:rsidRPr="00E30AA4">
        <w:rPr>
          <w:rFonts w:ascii="Traditional Arabic" w:hAnsi="Traditional Arabic" w:cs="Traditional Arabic"/>
          <w:sz w:val="28"/>
          <w:szCs w:val="28"/>
          <w:rtl/>
          <w:lang w:bidi="ar-EG"/>
        </w:rPr>
        <w:t>2871</w:t>
      </w:r>
      <w:r w:rsidRPr="00E30AA4">
        <w:rPr>
          <w:rFonts w:ascii="Traditional Arabic" w:hAnsi="Traditional Arabic" w:cs="Traditional Arabic"/>
          <w:sz w:val="28"/>
          <w:szCs w:val="28"/>
          <w:rtl/>
          <w:lang w:bidi="ar-EG"/>
        </w:rPr>
        <w:t>)</w:t>
      </w:r>
      <w:r w:rsidR="00646B3D" w:rsidRPr="00E30AA4">
        <w:rPr>
          <w:rFonts w:ascii="Traditional Arabic" w:hAnsi="Traditional Arabic" w:cs="Traditional Arabic"/>
          <w:sz w:val="28"/>
          <w:szCs w:val="28"/>
          <w:rtl/>
          <w:lang w:bidi="ar-EG"/>
        </w:rPr>
        <w:t>.</w:t>
      </w:r>
    </w:p>
  </w:footnote>
  <w:footnote w:id="2">
    <w:p w:rsidR="00646B3D" w:rsidRPr="00E30AA4" w:rsidRDefault="009753CB" w:rsidP="009753CB">
      <w:pPr>
        <w:pStyle w:val="FootnoteText"/>
        <w:jc w:val="both"/>
        <w:rPr>
          <w:rFonts w:ascii="Traditional Arabic" w:hAnsi="Traditional Arabic" w:cs="Traditional Arabic"/>
          <w:sz w:val="28"/>
          <w:szCs w:val="28"/>
          <w:rtl/>
          <w:lang w:bidi="ar-EG"/>
        </w:rPr>
      </w:pPr>
      <w:r w:rsidRPr="00E30AA4">
        <w:rPr>
          <w:rFonts w:ascii="Traditional Arabic" w:hAnsi="Traditional Arabic" w:cs="Traditional Arabic"/>
          <w:sz w:val="28"/>
          <w:szCs w:val="28"/>
          <w:rtl/>
        </w:rPr>
        <w:t>(</w:t>
      </w:r>
      <w:r w:rsidRPr="00E30AA4">
        <w:rPr>
          <w:rStyle w:val="FootnoteReference"/>
          <w:rFonts w:ascii="Traditional Arabic" w:hAnsi="Traditional Arabic" w:cs="Traditional Arabic"/>
          <w:sz w:val="28"/>
          <w:szCs w:val="28"/>
          <w:vertAlign w:val="baseline"/>
        </w:rPr>
        <w:footnoteRef/>
      </w:r>
      <w:r w:rsidRPr="00E30AA4">
        <w:rPr>
          <w:rFonts w:ascii="Traditional Arabic" w:hAnsi="Traditional Arabic" w:cs="Traditional Arabic"/>
          <w:sz w:val="28"/>
          <w:szCs w:val="28"/>
          <w:rtl/>
        </w:rPr>
        <w:t>)</w:t>
      </w:r>
      <w:r w:rsidR="00646B3D" w:rsidRPr="00E30AA4">
        <w:rPr>
          <w:rFonts w:ascii="Traditional Arabic" w:hAnsi="Traditional Arabic" w:cs="Traditional Arabic"/>
          <w:sz w:val="28"/>
          <w:szCs w:val="28"/>
          <w:rtl/>
          <w:lang w:bidi="ar-EG"/>
        </w:rPr>
        <w:t>الدرر السنية</w:t>
      </w:r>
      <w:r w:rsidRPr="00E30AA4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 في الرد على الوهابية</w:t>
      </w:r>
      <w:r w:rsidR="00646B3D" w:rsidRPr="00E30AA4">
        <w:rPr>
          <w:rFonts w:ascii="Traditional Arabic" w:hAnsi="Traditional Arabic" w:cs="Traditional Arabic"/>
          <w:sz w:val="28"/>
          <w:szCs w:val="28"/>
          <w:rtl/>
          <w:lang w:bidi="ar-EG"/>
        </w:rPr>
        <w:t>،</w:t>
      </w:r>
      <w:r w:rsidRPr="00E30AA4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 أحمد زيني دحلان،</w:t>
      </w:r>
      <w:r w:rsidR="00646B3D" w:rsidRPr="00E30AA4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 ص</w:t>
      </w:r>
      <w:r w:rsidRPr="00E30AA4">
        <w:rPr>
          <w:rFonts w:ascii="Traditional Arabic" w:hAnsi="Traditional Arabic" w:cs="Traditional Arabic"/>
          <w:sz w:val="28"/>
          <w:szCs w:val="28"/>
          <w:rtl/>
          <w:lang w:bidi="ar-EG"/>
        </w:rPr>
        <w:t>(</w:t>
      </w:r>
      <w:r w:rsidR="00646B3D" w:rsidRPr="00E30AA4">
        <w:rPr>
          <w:rFonts w:ascii="Traditional Arabic" w:hAnsi="Traditional Arabic" w:cs="Traditional Arabic"/>
          <w:sz w:val="28"/>
          <w:szCs w:val="28"/>
          <w:rtl/>
          <w:lang w:bidi="ar-EG"/>
        </w:rPr>
        <w:t>40</w:t>
      </w:r>
      <w:r w:rsidRPr="00E30AA4">
        <w:rPr>
          <w:rFonts w:ascii="Traditional Arabic" w:hAnsi="Traditional Arabic" w:cs="Traditional Arabic"/>
          <w:sz w:val="28"/>
          <w:szCs w:val="28"/>
          <w:rtl/>
          <w:lang w:bidi="ar-EG"/>
        </w:rPr>
        <w:t>)</w:t>
      </w:r>
      <w:r w:rsidR="00646B3D" w:rsidRPr="00E30AA4">
        <w:rPr>
          <w:rFonts w:ascii="Traditional Arabic" w:hAnsi="Traditional Arabic" w:cs="Traditional Arabic"/>
          <w:sz w:val="28"/>
          <w:szCs w:val="28"/>
          <w:rtl/>
          <w:lang w:bidi="ar-EG"/>
        </w:rPr>
        <w:t>.</w:t>
      </w:r>
    </w:p>
  </w:footnote>
  <w:footnote w:id="3">
    <w:p w:rsidR="00204610" w:rsidRPr="00E30AA4" w:rsidRDefault="009753CB" w:rsidP="009753CB">
      <w:pPr>
        <w:pStyle w:val="FootnoteText"/>
        <w:jc w:val="both"/>
        <w:rPr>
          <w:rFonts w:ascii="Traditional Arabic" w:hAnsi="Traditional Arabic" w:cs="Traditional Arabic"/>
          <w:sz w:val="28"/>
          <w:szCs w:val="28"/>
          <w:rtl/>
          <w:lang w:bidi="ar-EG"/>
        </w:rPr>
      </w:pPr>
      <w:r w:rsidRPr="00E30AA4">
        <w:rPr>
          <w:rFonts w:ascii="Traditional Arabic" w:hAnsi="Traditional Arabic" w:cs="Traditional Arabic"/>
          <w:sz w:val="28"/>
          <w:szCs w:val="28"/>
          <w:rtl/>
        </w:rPr>
        <w:t>(</w:t>
      </w:r>
      <w:r w:rsidRPr="00E30AA4">
        <w:rPr>
          <w:rStyle w:val="FootnoteReference"/>
          <w:rFonts w:ascii="Traditional Arabic" w:hAnsi="Traditional Arabic" w:cs="Traditional Arabic"/>
          <w:sz w:val="28"/>
          <w:szCs w:val="28"/>
          <w:vertAlign w:val="baseline"/>
        </w:rPr>
        <w:footnoteRef/>
      </w:r>
      <w:r w:rsidRPr="00E30AA4">
        <w:rPr>
          <w:rFonts w:ascii="Traditional Arabic" w:hAnsi="Traditional Arabic" w:cs="Traditional Arabic"/>
          <w:sz w:val="28"/>
          <w:szCs w:val="28"/>
          <w:rtl/>
        </w:rPr>
        <w:t>)</w:t>
      </w:r>
      <w:r w:rsidR="00204610" w:rsidRPr="00E30AA4">
        <w:rPr>
          <w:rFonts w:ascii="Traditional Arabic" w:hAnsi="Traditional Arabic" w:cs="Traditional Arabic"/>
          <w:sz w:val="28"/>
          <w:szCs w:val="28"/>
          <w:rtl/>
          <w:lang w:bidi="ar-EG"/>
        </w:rPr>
        <w:t>صيانة الإنسان عن وسوسة الشيخ دحلان،</w:t>
      </w:r>
      <w:r w:rsidRPr="00E30AA4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 محمد بشير السهسواني،</w:t>
      </w:r>
      <w:r w:rsidR="00204610" w:rsidRPr="00E30AA4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 ص</w:t>
      </w:r>
      <w:r w:rsidRPr="00E30AA4">
        <w:rPr>
          <w:rFonts w:ascii="Traditional Arabic" w:hAnsi="Traditional Arabic" w:cs="Traditional Arabic"/>
          <w:sz w:val="28"/>
          <w:szCs w:val="28"/>
          <w:rtl/>
          <w:lang w:bidi="ar-EG"/>
        </w:rPr>
        <w:t>(</w:t>
      </w:r>
      <w:r w:rsidR="00204610" w:rsidRPr="00E30AA4">
        <w:rPr>
          <w:rFonts w:ascii="Traditional Arabic" w:hAnsi="Traditional Arabic" w:cs="Traditional Arabic"/>
          <w:sz w:val="28"/>
          <w:szCs w:val="28"/>
          <w:rtl/>
          <w:lang w:bidi="ar-EG"/>
        </w:rPr>
        <w:t>43</w:t>
      </w:r>
      <w:r w:rsidRPr="00E30AA4">
        <w:rPr>
          <w:rFonts w:ascii="Traditional Arabic" w:hAnsi="Traditional Arabic" w:cs="Traditional Arabic"/>
          <w:sz w:val="28"/>
          <w:szCs w:val="28"/>
          <w:rtl/>
          <w:lang w:bidi="ar-EG"/>
        </w:rPr>
        <w:t>)</w:t>
      </w:r>
      <w:r w:rsidR="00204610" w:rsidRPr="00E30AA4">
        <w:rPr>
          <w:rFonts w:ascii="Traditional Arabic" w:hAnsi="Traditional Arabic" w:cs="Traditional Arabic"/>
          <w:sz w:val="28"/>
          <w:szCs w:val="28"/>
          <w:rtl/>
          <w:lang w:bidi="ar-EG"/>
        </w:rPr>
        <w:t>.</w:t>
      </w:r>
    </w:p>
  </w:footnote>
  <w:footnote w:id="4">
    <w:p w:rsidR="00204610" w:rsidRPr="00E30AA4" w:rsidRDefault="009753CB" w:rsidP="009753CB">
      <w:pPr>
        <w:pStyle w:val="FootnoteText"/>
        <w:jc w:val="both"/>
        <w:rPr>
          <w:rFonts w:ascii="Traditional Arabic" w:hAnsi="Traditional Arabic" w:cs="Traditional Arabic"/>
          <w:sz w:val="28"/>
          <w:szCs w:val="28"/>
          <w:rtl/>
          <w:lang w:bidi="ar-EG"/>
        </w:rPr>
      </w:pPr>
      <w:r w:rsidRPr="00E30AA4">
        <w:rPr>
          <w:rFonts w:ascii="Traditional Arabic" w:hAnsi="Traditional Arabic" w:cs="Traditional Arabic"/>
          <w:sz w:val="28"/>
          <w:szCs w:val="28"/>
          <w:rtl/>
        </w:rPr>
        <w:t>(</w:t>
      </w:r>
      <w:r w:rsidRPr="00E30AA4">
        <w:rPr>
          <w:rStyle w:val="FootnoteReference"/>
          <w:rFonts w:ascii="Traditional Arabic" w:hAnsi="Traditional Arabic" w:cs="Traditional Arabic"/>
          <w:sz w:val="28"/>
          <w:szCs w:val="28"/>
          <w:vertAlign w:val="baseline"/>
        </w:rPr>
        <w:footnoteRef/>
      </w:r>
      <w:r w:rsidRPr="00E30AA4">
        <w:rPr>
          <w:rFonts w:ascii="Traditional Arabic" w:hAnsi="Traditional Arabic" w:cs="Traditional Arabic"/>
          <w:sz w:val="28"/>
          <w:szCs w:val="28"/>
          <w:rtl/>
        </w:rPr>
        <w:t>)</w:t>
      </w:r>
      <w:r w:rsidR="00204610" w:rsidRPr="00E30AA4">
        <w:rPr>
          <w:rFonts w:ascii="Traditional Arabic" w:hAnsi="Traditional Arabic" w:cs="Traditional Arabic"/>
          <w:sz w:val="28"/>
          <w:szCs w:val="28"/>
          <w:rtl/>
          <w:lang w:bidi="ar-EG"/>
        </w:rPr>
        <w:t>مجموع الفتاوى،</w:t>
      </w:r>
      <w:r w:rsidRPr="00E30AA4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 ابن تيمية،(</w:t>
      </w:r>
      <w:r w:rsidR="00204610" w:rsidRPr="00E30AA4">
        <w:rPr>
          <w:rFonts w:ascii="Traditional Arabic" w:hAnsi="Traditional Arabic" w:cs="Traditional Arabic"/>
          <w:sz w:val="28"/>
          <w:szCs w:val="28"/>
          <w:rtl/>
          <w:lang w:bidi="ar-EG"/>
        </w:rPr>
        <w:t>10/283-284</w:t>
      </w:r>
      <w:r w:rsidRPr="00E30AA4">
        <w:rPr>
          <w:rFonts w:ascii="Traditional Arabic" w:hAnsi="Traditional Arabic" w:cs="Traditional Arabic"/>
          <w:sz w:val="28"/>
          <w:szCs w:val="28"/>
          <w:rtl/>
          <w:lang w:bidi="ar-EG"/>
        </w:rPr>
        <w:t>)</w:t>
      </w:r>
      <w:r w:rsidR="00204610" w:rsidRPr="00E30AA4">
        <w:rPr>
          <w:rFonts w:ascii="Traditional Arabic" w:hAnsi="Traditional Arabic" w:cs="Traditional Arabic"/>
          <w:sz w:val="28"/>
          <w:szCs w:val="28"/>
          <w:rtl/>
          <w:lang w:bidi="ar-EG"/>
        </w:rPr>
        <w:t>.</w:t>
      </w:r>
    </w:p>
  </w:footnote>
  <w:footnote w:id="5">
    <w:p w:rsidR="00500D76" w:rsidRPr="00E30AA4" w:rsidRDefault="00500D76" w:rsidP="00500D76">
      <w:pPr>
        <w:pStyle w:val="FootnoteText"/>
        <w:jc w:val="both"/>
        <w:rPr>
          <w:rFonts w:ascii="Traditional Arabic" w:hAnsi="Traditional Arabic" w:cs="Traditional Arabic"/>
          <w:sz w:val="28"/>
          <w:szCs w:val="28"/>
          <w:rtl/>
          <w:lang w:bidi="ar-EG"/>
        </w:rPr>
      </w:pPr>
      <w:r w:rsidRPr="00E30AA4">
        <w:rPr>
          <w:rFonts w:ascii="Traditional Arabic" w:hAnsi="Traditional Arabic" w:cs="Traditional Arabic"/>
          <w:sz w:val="28"/>
          <w:szCs w:val="28"/>
          <w:rtl/>
        </w:rPr>
        <w:t>(</w:t>
      </w:r>
      <w:r w:rsidRPr="00E30AA4">
        <w:rPr>
          <w:rStyle w:val="FootnoteReference"/>
          <w:rFonts w:ascii="Traditional Arabic" w:hAnsi="Traditional Arabic" w:cs="Traditional Arabic"/>
          <w:sz w:val="28"/>
          <w:szCs w:val="28"/>
          <w:vertAlign w:val="baseline"/>
        </w:rPr>
        <w:footnoteRef/>
      </w:r>
      <w:r w:rsidRPr="00E30AA4">
        <w:rPr>
          <w:rFonts w:ascii="Traditional Arabic" w:hAnsi="Traditional Arabic" w:cs="Traditional Arabic"/>
          <w:sz w:val="28"/>
          <w:szCs w:val="28"/>
          <w:rtl/>
        </w:rPr>
        <w:t>)</w:t>
      </w:r>
      <w:r w:rsidRPr="00E30AA4">
        <w:rPr>
          <w:rFonts w:ascii="Traditional Arabic" w:hAnsi="Traditional Arabic" w:cs="Traditional Arabic"/>
          <w:sz w:val="28"/>
          <w:szCs w:val="28"/>
          <w:rtl/>
          <w:lang w:bidi="ar-EG"/>
        </w:rPr>
        <w:t>مجموع مؤلفات الشيخ محمد بن عبد الوهاب، ص(5/17).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36534E"/>
    <w:multiLevelType w:val="hybridMultilevel"/>
    <w:tmpl w:val="350C6598"/>
    <w:lvl w:ilvl="0" w:tplc="1262939C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C2447D"/>
    <w:multiLevelType w:val="hybridMultilevel"/>
    <w:tmpl w:val="94A880B0"/>
    <w:lvl w:ilvl="0" w:tplc="B0A63E6E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6B3D"/>
    <w:rsid w:val="00204610"/>
    <w:rsid w:val="002078CA"/>
    <w:rsid w:val="0025258F"/>
    <w:rsid w:val="002720CA"/>
    <w:rsid w:val="00500D76"/>
    <w:rsid w:val="005557CF"/>
    <w:rsid w:val="00573180"/>
    <w:rsid w:val="00606E4A"/>
    <w:rsid w:val="00646B3D"/>
    <w:rsid w:val="006848E5"/>
    <w:rsid w:val="006E7E4B"/>
    <w:rsid w:val="0073013A"/>
    <w:rsid w:val="009753CB"/>
    <w:rsid w:val="009C2F52"/>
    <w:rsid w:val="009D0BD0"/>
    <w:rsid w:val="00B046C2"/>
    <w:rsid w:val="00BD0423"/>
    <w:rsid w:val="00CE3584"/>
    <w:rsid w:val="00E30AA4"/>
    <w:rsid w:val="00E82273"/>
    <w:rsid w:val="00EE137E"/>
    <w:rsid w:val="00EE786E"/>
    <w:rsid w:val="00FD12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53A1791-D17E-40C9-B829-81D56B99E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B3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-Accent5">
    <w:name w:val="Light Grid Accent 5"/>
    <w:basedOn w:val="TableNormal"/>
    <w:uiPriority w:val="62"/>
    <w:rsid w:val="00646B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646B3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6B3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46B3D"/>
    <w:rPr>
      <w:vertAlign w:val="superscript"/>
    </w:rPr>
  </w:style>
  <w:style w:type="paragraph" w:styleId="ListParagraph">
    <w:name w:val="List Paragraph"/>
    <w:basedOn w:val="Normal"/>
    <w:uiPriority w:val="34"/>
    <w:qFormat/>
    <w:rsid w:val="002046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66C3E-D65D-4732-AC03-162F08A19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Amien</cp:lastModifiedBy>
  <cp:revision>12</cp:revision>
  <cp:lastPrinted>2016-04-17T09:43:00Z</cp:lastPrinted>
  <dcterms:created xsi:type="dcterms:W3CDTF">2016-03-02T12:08:00Z</dcterms:created>
  <dcterms:modified xsi:type="dcterms:W3CDTF">2016-05-12T12:39:00Z</dcterms:modified>
</cp:coreProperties>
</file>