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9A" w:rsidRPr="005638CC" w:rsidRDefault="0012399A" w:rsidP="0012399A">
      <w:pPr>
        <w:tabs>
          <w:tab w:val="left" w:pos="0"/>
        </w:tabs>
        <w:spacing w:after="0" w:line="240" w:lineRule="auto"/>
        <w:ind w:firstLine="284"/>
        <w:jc w:val="center"/>
        <w:rPr>
          <w:rFonts w:ascii="Traditional Arabic" w:hAnsi="Traditional Arabic" w:cs="Traditional Arabic"/>
          <w:b/>
          <w:bCs/>
          <w:sz w:val="32"/>
          <w:szCs w:val="32"/>
          <w:rtl/>
        </w:rPr>
      </w:pPr>
      <w:r w:rsidRPr="005638CC">
        <w:rPr>
          <w:rFonts w:ascii="Traditional Arabic" w:hAnsi="Traditional Arabic" w:cs="Traditional Arabic"/>
          <w:b/>
          <w:bCs/>
          <w:sz w:val="32"/>
          <w:szCs w:val="32"/>
          <w:rtl/>
        </w:rPr>
        <w:t>كلمة في التبرك</w:t>
      </w:r>
    </w:p>
    <w:p w:rsidR="0012399A" w:rsidRPr="002A7B7E" w:rsidRDefault="0012399A" w:rsidP="0012399A">
      <w:pPr>
        <w:tabs>
          <w:tab w:val="left" w:pos="0"/>
        </w:tabs>
        <w:spacing w:after="0" w:line="240" w:lineRule="auto"/>
        <w:ind w:firstLine="284"/>
        <w:jc w:val="right"/>
        <w:rPr>
          <w:rFonts w:ascii="Traditional Arabic" w:hAnsi="Traditional Arabic" w:cs="Traditional Arabic"/>
          <w:b/>
          <w:bCs/>
          <w:sz w:val="32"/>
          <w:szCs w:val="32"/>
          <w:rtl/>
        </w:rPr>
      </w:pPr>
      <w:r w:rsidRPr="002A7B7E">
        <w:rPr>
          <w:rFonts w:ascii="Traditional Arabic" w:hAnsi="Traditional Arabic" w:cs="Traditional Arabic"/>
          <w:b/>
          <w:bCs/>
          <w:sz w:val="32"/>
          <w:szCs w:val="32"/>
          <w:rtl/>
        </w:rPr>
        <w:t xml:space="preserve">د. عبد العزيز آل عبد اللطيف </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التبرك هو طلب البركة ورجاؤها, والبركة هي النماء والزيادة وكثرة الخير.</w:t>
      </w:r>
    </w:p>
    <w:p w:rsidR="0012399A" w:rsidRPr="002A7B7E" w:rsidRDefault="0012399A" w:rsidP="002A7B7E">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والتبرك المشروع هو طلب البركة ورجاؤها من الله تعالى وحده حسب مقتضى السنة والدليل</w:t>
      </w:r>
      <w:r w:rsidR="002A7B7E" w:rsidRPr="002A7B7E">
        <w:rPr>
          <w:rFonts w:ascii="Traditional Arabic" w:hAnsi="Traditional Arabic" w:cs="Traditional Arabic"/>
          <w:sz w:val="32"/>
          <w:szCs w:val="32"/>
          <w:rtl/>
        </w:rPr>
        <w:t xml:space="preserve"> </w:t>
      </w:r>
      <w:r w:rsidRPr="002A7B7E">
        <w:rPr>
          <w:rFonts w:ascii="Traditional Arabic" w:hAnsi="Traditional Arabic" w:cs="Traditional Arabic"/>
          <w:sz w:val="32"/>
          <w:szCs w:val="32"/>
          <w:rtl/>
        </w:rPr>
        <w:t>فلابد من استصحاب الأصلين الكبيرين: ألَّا نعبد إلا الله تعالى</w:t>
      </w:r>
      <w:r w:rsidR="002A7B7E" w:rsidRPr="002A7B7E">
        <w:rPr>
          <w:rFonts w:ascii="Traditional Arabic" w:hAnsi="Traditional Arabic" w:cs="Traditional Arabic"/>
          <w:sz w:val="32"/>
          <w:szCs w:val="32"/>
          <w:rtl/>
        </w:rPr>
        <w:t xml:space="preserve"> </w:t>
      </w:r>
      <w:r w:rsidRPr="002A7B7E">
        <w:rPr>
          <w:rFonts w:ascii="Traditional Arabic" w:hAnsi="Traditional Arabic" w:cs="Traditional Arabic"/>
          <w:sz w:val="32"/>
          <w:szCs w:val="32"/>
          <w:rtl/>
        </w:rPr>
        <w:t>والآخر ألَّا نعبده إلا بما شرع، فالبركة من الله تعالى وحده</w:t>
      </w:r>
      <w:r w:rsidR="002A7B7E" w:rsidRPr="002A7B7E">
        <w:rPr>
          <w:rFonts w:ascii="Traditional Arabic" w:hAnsi="Traditional Arabic" w:cs="Traditional Arabic"/>
          <w:sz w:val="32"/>
          <w:szCs w:val="32"/>
          <w:rtl/>
        </w:rPr>
        <w:t xml:space="preserve"> </w:t>
      </w:r>
      <w:r w:rsidRPr="002A7B7E">
        <w:rPr>
          <w:rFonts w:ascii="Traditional Arabic" w:hAnsi="Traditional Arabic" w:cs="Traditional Arabic"/>
          <w:sz w:val="32"/>
          <w:szCs w:val="32"/>
          <w:rtl/>
        </w:rPr>
        <w:t>فتُطلب</w:t>
      </w:r>
      <w:bookmarkStart w:id="0" w:name="_GoBack"/>
      <w:bookmarkEnd w:id="0"/>
      <w:r w:rsidRPr="002A7B7E">
        <w:rPr>
          <w:rFonts w:ascii="Traditional Arabic" w:hAnsi="Traditional Arabic" w:cs="Traditional Arabic"/>
          <w:sz w:val="32"/>
          <w:szCs w:val="32"/>
          <w:rtl/>
        </w:rPr>
        <w:t xml:space="preserve"> منه سبحانه, فيرجو ويعتقد أنها من عنده </w:t>
      </w:r>
      <w:r w:rsidR="005638CC">
        <w:rPr>
          <w:rFonts w:ascii="Traditional Arabic" w:hAnsi="Traditional Arabic" w:cs="Traditional Arabic"/>
          <w:sz w:val="32"/>
          <w:szCs w:val="32"/>
          <w:rtl/>
        </w:rPr>
        <w:t>عز وجل</w:t>
      </w:r>
      <w:r w:rsidRPr="002A7B7E">
        <w:rPr>
          <w:rFonts w:ascii="Traditional Arabic" w:hAnsi="Traditional Arabic" w:cs="Traditional Arabic"/>
          <w:sz w:val="32"/>
          <w:szCs w:val="32"/>
          <w:rtl/>
        </w:rPr>
        <w:t>.</w:t>
      </w:r>
    </w:p>
    <w:p w:rsidR="0012399A" w:rsidRPr="002A7B7E" w:rsidRDefault="0012399A" w:rsidP="002A7B7E">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ثم إن البركة المطلوبة إنما تكون وفق مقتضى الشرع, فبركة المصحف مثلًا تُنال بتدبره واتباعه، وليس بتعليقه أو تزويقه وزخرفته</w:t>
      </w:r>
      <w:r w:rsidR="002A7B7E" w:rsidRPr="002A7B7E">
        <w:rPr>
          <w:rFonts w:ascii="Traditional Arabic" w:hAnsi="Traditional Arabic" w:cs="Traditional Arabic"/>
          <w:sz w:val="32"/>
          <w:szCs w:val="32"/>
          <w:rtl/>
        </w:rPr>
        <w:t xml:space="preserve"> </w:t>
      </w:r>
      <w:r w:rsidRPr="002A7B7E">
        <w:rPr>
          <w:rFonts w:ascii="Traditional Arabic" w:hAnsi="Traditional Arabic" w:cs="Traditional Arabic"/>
          <w:sz w:val="32"/>
          <w:szCs w:val="32"/>
          <w:rtl/>
        </w:rPr>
        <w:t xml:space="preserve">قال تعالى: </w:t>
      </w:r>
      <w:r w:rsidR="002A7B7E" w:rsidRPr="005638CC">
        <w:rPr>
          <w:rFonts w:ascii="Traditional Arabic" w:hAnsi="Traditional Arabic" w:cs="Traditional Arabic"/>
          <w:b/>
          <w:bCs/>
          <w:sz w:val="32"/>
          <w:szCs w:val="32"/>
          <w:rtl/>
        </w:rPr>
        <w:t xml:space="preserve">{كِتَابٌ أَنْزَلْنَاهُ إِلَيْكَ مُبَارَكٌ لِيَدَّبَّرُوا آيَاتِهِ} </w:t>
      </w:r>
      <w:r w:rsidR="002A7B7E" w:rsidRPr="002A7B7E">
        <w:rPr>
          <w:rFonts w:ascii="Traditional Arabic" w:hAnsi="Traditional Arabic" w:cs="Traditional Arabic"/>
          <w:sz w:val="32"/>
          <w:szCs w:val="32"/>
          <w:rtl/>
        </w:rPr>
        <w:t>[ص: 29]</w:t>
      </w:r>
      <w:r w:rsidRPr="002A7B7E">
        <w:rPr>
          <w:rFonts w:ascii="Traditional Arabic" w:hAnsi="Traditional Arabic" w:cs="Traditional Arabic"/>
          <w:sz w:val="32"/>
          <w:szCs w:val="32"/>
          <w:rtl/>
        </w:rPr>
        <w:t>.</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وبالجملة فالتبرك المشروع إنما هو بالعلم النافع والعمل الصالح مما يظهر أثره ويعمّ نفعه ويعظم أجره.</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 xml:space="preserve">ومن ذلك ما جاء في حديث ابن عمر أن النبي </w:t>
      </w:r>
      <w:r w:rsidR="005638CC">
        <w:rPr>
          <w:rFonts w:ascii="Traditional Arabic" w:hAnsi="Traditional Arabic" w:cs="Traditional Arabic"/>
          <w:sz w:val="32"/>
          <w:szCs w:val="32"/>
          <w:rtl/>
        </w:rPr>
        <w:t>صلى الله عليه وسلم</w:t>
      </w:r>
      <w:r w:rsidRPr="002A7B7E">
        <w:rPr>
          <w:rFonts w:ascii="Traditional Arabic" w:hAnsi="Traditional Arabic" w:cs="Traditional Arabic"/>
          <w:sz w:val="32"/>
          <w:szCs w:val="32"/>
          <w:rtl/>
        </w:rPr>
        <w:t xml:space="preserve"> قال: </w:t>
      </w:r>
      <w:r w:rsidRPr="002A7B7E">
        <w:rPr>
          <w:rFonts w:ascii="Traditional Arabic" w:hAnsi="Traditional Arabic" w:cs="Traditional Arabic"/>
          <w:b/>
          <w:bCs/>
          <w:sz w:val="32"/>
          <w:szCs w:val="32"/>
          <w:rtl/>
        </w:rPr>
        <w:t>(إن من الشجر لما بركته كبركة المسلم ... وهي النخلة)</w:t>
      </w:r>
      <w:r w:rsidRPr="002A7B7E">
        <w:rPr>
          <w:rFonts w:ascii="Traditional Arabic" w:hAnsi="Traditional Arabic" w:cs="Traditional Arabic"/>
          <w:sz w:val="32"/>
          <w:szCs w:val="32"/>
          <w:vertAlign w:val="superscript"/>
          <w:rtl/>
        </w:rPr>
        <w:t>(</w:t>
      </w:r>
      <w:r w:rsidRPr="002A7B7E">
        <w:rPr>
          <w:rStyle w:val="FootnoteReference"/>
          <w:rFonts w:ascii="Traditional Arabic" w:hAnsi="Traditional Arabic" w:cs="Traditional Arabic"/>
          <w:sz w:val="32"/>
          <w:szCs w:val="32"/>
          <w:rtl/>
        </w:rPr>
        <w:footnoteReference w:id="1"/>
      </w:r>
      <w:r w:rsidRPr="002A7B7E">
        <w:rPr>
          <w:rFonts w:ascii="Traditional Arabic" w:hAnsi="Traditional Arabic" w:cs="Traditional Arabic"/>
          <w:sz w:val="32"/>
          <w:szCs w:val="32"/>
          <w:vertAlign w:val="superscript"/>
          <w:rtl/>
        </w:rPr>
        <w:t>)</w:t>
      </w:r>
      <w:r w:rsidRPr="002A7B7E">
        <w:rPr>
          <w:rFonts w:ascii="Traditional Arabic" w:hAnsi="Traditional Arabic" w:cs="Traditional Arabic"/>
          <w:sz w:val="32"/>
          <w:szCs w:val="32"/>
          <w:rtl/>
        </w:rPr>
        <w:t>.</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قال الحافظ ابن حجر: (وبركة النخل موجودة في جميع أجزائها, مستمرة في جميع أحوالها ... وكذلك بركة المسلم عامة في جميع الأحوال, ونفعه مستمر له ولغيره حتى بعد موته)</w:t>
      </w:r>
      <w:r w:rsidRPr="002A7B7E">
        <w:rPr>
          <w:rFonts w:ascii="Traditional Arabic" w:hAnsi="Traditional Arabic" w:cs="Traditional Arabic"/>
          <w:sz w:val="32"/>
          <w:szCs w:val="32"/>
          <w:vertAlign w:val="superscript"/>
          <w:rtl/>
        </w:rPr>
        <w:t xml:space="preserve"> (</w:t>
      </w:r>
      <w:r w:rsidRPr="002A7B7E">
        <w:rPr>
          <w:rStyle w:val="FootnoteReference"/>
          <w:rFonts w:ascii="Traditional Arabic" w:hAnsi="Traditional Arabic" w:cs="Traditional Arabic"/>
          <w:sz w:val="32"/>
          <w:szCs w:val="32"/>
          <w:rtl/>
        </w:rPr>
        <w:footnoteReference w:id="2"/>
      </w:r>
      <w:r w:rsidRPr="002A7B7E">
        <w:rPr>
          <w:rFonts w:ascii="Traditional Arabic" w:hAnsi="Traditional Arabic" w:cs="Traditional Arabic"/>
          <w:sz w:val="32"/>
          <w:szCs w:val="32"/>
          <w:vertAlign w:val="superscript"/>
          <w:rtl/>
        </w:rPr>
        <w:t>)</w:t>
      </w:r>
      <w:r w:rsidRPr="002A7B7E">
        <w:rPr>
          <w:rFonts w:ascii="Traditional Arabic" w:hAnsi="Traditional Arabic" w:cs="Traditional Arabic"/>
          <w:sz w:val="32"/>
          <w:szCs w:val="32"/>
          <w:rtl/>
        </w:rPr>
        <w:t xml:space="preserve">. </w:t>
      </w:r>
    </w:p>
    <w:p w:rsidR="0012399A" w:rsidRPr="002A7B7E" w:rsidRDefault="0012399A" w:rsidP="002A7B7E">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 xml:space="preserve">وقال بعضهم في تفسير قوله تعالى عن المسيح </w:t>
      </w:r>
      <w:r w:rsidR="005638CC">
        <w:rPr>
          <w:rFonts w:ascii="Traditional Arabic" w:hAnsi="Traditional Arabic" w:cs="Traditional Arabic"/>
          <w:sz w:val="32"/>
          <w:szCs w:val="32"/>
          <w:rtl/>
        </w:rPr>
        <w:t>عليه السلام</w:t>
      </w:r>
      <w:r w:rsidRPr="005638CC">
        <w:rPr>
          <w:rFonts w:ascii="Traditional Arabic" w:hAnsi="Traditional Arabic" w:cs="Traditional Arabic"/>
          <w:b/>
          <w:bCs/>
          <w:sz w:val="32"/>
          <w:szCs w:val="32"/>
          <w:rtl/>
        </w:rPr>
        <w:t xml:space="preserve">: </w:t>
      </w:r>
      <w:r w:rsidR="002A7B7E" w:rsidRPr="005638CC">
        <w:rPr>
          <w:rFonts w:ascii="Traditional Arabic" w:hAnsi="Traditional Arabic" w:cs="Traditional Arabic"/>
          <w:b/>
          <w:bCs/>
          <w:sz w:val="32"/>
          <w:szCs w:val="32"/>
          <w:rtl/>
        </w:rPr>
        <w:t>{وَجَعَلَنِي مُبَارَكًا أَيْنَ مَا كُنْتُ}</w:t>
      </w:r>
      <w:r w:rsidR="002A7B7E" w:rsidRPr="002A7B7E">
        <w:rPr>
          <w:rFonts w:ascii="Traditional Arabic" w:hAnsi="Traditional Arabic" w:cs="Traditional Arabic"/>
          <w:sz w:val="32"/>
          <w:szCs w:val="32"/>
          <w:rtl/>
        </w:rPr>
        <w:t xml:space="preserve"> [مريم: 31]</w:t>
      </w:r>
      <w:r w:rsidRPr="002A7B7E">
        <w:rPr>
          <w:rFonts w:ascii="Traditional Arabic" w:hAnsi="Traditional Arabic" w:cs="Traditional Arabic"/>
          <w:sz w:val="32"/>
          <w:szCs w:val="32"/>
          <w:rtl/>
        </w:rPr>
        <w:t>، أي: مذكرًا بالله داعيًا إلى سبيله</w:t>
      </w:r>
      <w:r w:rsidRPr="002A7B7E">
        <w:rPr>
          <w:rFonts w:ascii="Traditional Arabic" w:hAnsi="Traditional Arabic" w:cs="Traditional Arabic"/>
          <w:sz w:val="32"/>
          <w:szCs w:val="32"/>
          <w:vertAlign w:val="superscript"/>
          <w:rtl/>
        </w:rPr>
        <w:t>(</w:t>
      </w:r>
      <w:r w:rsidRPr="002A7B7E">
        <w:rPr>
          <w:rStyle w:val="FootnoteReference"/>
          <w:rFonts w:ascii="Traditional Arabic" w:hAnsi="Traditional Arabic" w:cs="Traditional Arabic"/>
          <w:sz w:val="32"/>
          <w:szCs w:val="32"/>
          <w:rtl/>
        </w:rPr>
        <w:footnoteReference w:id="3"/>
      </w:r>
      <w:r w:rsidRPr="002A7B7E">
        <w:rPr>
          <w:rFonts w:ascii="Traditional Arabic" w:hAnsi="Traditional Arabic" w:cs="Traditional Arabic"/>
          <w:sz w:val="32"/>
          <w:szCs w:val="32"/>
          <w:vertAlign w:val="superscript"/>
          <w:rtl/>
        </w:rPr>
        <w:t>)</w:t>
      </w:r>
      <w:r w:rsidRPr="002A7B7E">
        <w:rPr>
          <w:rFonts w:ascii="Traditional Arabic" w:hAnsi="Traditional Arabic" w:cs="Traditional Arabic"/>
          <w:sz w:val="32"/>
          <w:szCs w:val="32"/>
          <w:rtl/>
        </w:rPr>
        <w:t>.</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وسلفنا الصالح كلامهم قليل, لكنه كثير البركة, وكلام المتأخرين كثير لكنه قليل البركة.</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والحاصل أن تحقيق التبرك المشروع والقيام به علمًا وعملًا يمنع من الوقوع في التبرك الممنوع, والنفوس خلقت لتعمل لا لتترك, والإنسان حارث همام لا ينفك عن الإرادة والنية, والسعي والحركة, فإذا اشتغلت النفوس بالتبرك المشروع عزفت عن التبرك الممنوع.</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فعلينا أن نعنى بإظهار السنن والشرائع والحث على لزومها فهي بمنزلة الغذاء النافع, وفيها من البركات ما لا يحصى كم هو ظاهر في بركات التعلّق بالله تعالى والإنابة إليه, وبركة الاتباع والاعتصام بنصوص الوحيين, وبركة تدبر القرآن والعمل به, وبركة الدعوة إلى الله تعالى والاحتساب, وبركة الصدقة والإحسان إلى الخلق, وبركة الكسب الحلال...إلخ.</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lastRenderedPageBreak/>
        <w:t>والعزوف عن التبرك المشروع يوقع في التبرك الممنوع, كما أن الإعراض عن الأغذية النافعة المفيدة يؤدي إلى الأغذية الضارة..</w:t>
      </w:r>
    </w:p>
    <w:p w:rsidR="0012399A" w:rsidRPr="002A7B7E" w:rsidRDefault="0012399A" w:rsidP="0012399A">
      <w:pPr>
        <w:tabs>
          <w:tab w:val="left" w:pos="0"/>
        </w:tabs>
        <w:spacing w:after="0"/>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يقول ابن تيمية: (</w:t>
      </w:r>
      <w:r w:rsidRPr="005638CC">
        <w:rPr>
          <w:rFonts w:ascii="Traditional Arabic" w:hAnsi="Traditional Arabic" w:cs="Traditional Arabic"/>
          <w:b/>
          <w:bCs/>
          <w:sz w:val="32"/>
          <w:szCs w:val="32"/>
          <w:rtl/>
        </w:rPr>
        <w:t>وهكذا أهل البدع لا تجد أحدًا ترك بعض السنة التي يجب التصديق بها والعمل إلا وقع في بدعة, ولا تجد صاحب بدعة إلا ترك شيئًا من السنة، كما جاء في الحديث (ما ابتدع قوم بدعة إلا تركوا من السنة مثلها)</w:t>
      </w:r>
      <w:r w:rsidRPr="005638CC">
        <w:rPr>
          <w:rFonts w:ascii="Traditional Arabic" w:hAnsi="Traditional Arabic" w:cs="Traditional Arabic"/>
          <w:b/>
          <w:bCs/>
          <w:sz w:val="32"/>
          <w:szCs w:val="32"/>
          <w:vertAlign w:val="superscript"/>
          <w:rtl/>
        </w:rPr>
        <w:t xml:space="preserve"> </w:t>
      </w:r>
      <w:r w:rsidRPr="005638CC">
        <w:rPr>
          <w:rFonts w:ascii="Traditional Arabic" w:hAnsi="Traditional Arabic" w:cs="Traditional Arabic"/>
          <w:b/>
          <w:bCs/>
          <w:sz w:val="32"/>
          <w:szCs w:val="32"/>
          <w:rtl/>
        </w:rPr>
        <w:t>.. وكذلك من لم يفعل المأمور فعل بعض المحظور, ومن فعل المحظور لم يفعل جميع المأمور..</w:t>
      </w:r>
      <w:r w:rsidRPr="002A7B7E">
        <w:rPr>
          <w:rFonts w:ascii="Traditional Arabic" w:hAnsi="Traditional Arabic" w:cs="Traditional Arabic"/>
          <w:sz w:val="32"/>
          <w:szCs w:val="32"/>
          <w:rtl/>
        </w:rPr>
        <w:t>)</w:t>
      </w:r>
      <w:r w:rsidRPr="002A7B7E">
        <w:rPr>
          <w:rFonts w:ascii="Traditional Arabic" w:hAnsi="Traditional Arabic" w:cs="Traditional Arabic"/>
          <w:sz w:val="32"/>
          <w:szCs w:val="32"/>
          <w:vertAlign w:val="superscript"/>
          <w:rtl/>
        </w:rPr>
        <w:t xml:space="preserve"> (</w:t>
      </w:r>
      <w:r w:rsidRPr="002A7B7E">
        <w:rPr>
          <w:rStyle w:val="FootnoteReference"/>
          <w:rFonts w:ascii="Traditional Arabic" w:hAnsi="Traditional Arabic" w:cs="Traditional Arabic"/>
          <w:sz w:val="32"/>
          <w:szCs w:val="32"/>
          <w:rtl/>
        </w:rPr>
        <w:footnoteReference w:id="4"/>
      </w:r>
      <w:r w:rsidRPr="002A7B7E">
        <w:rPr>
          <w:rFonts w:ascii="Traditional Arabic" w:hAnsi="Traditional Arabic" w:cs="Traditional Arabic"/>
          <w:sz w:val="32"/>
          <w:szCs w:val="32"/>
          <w:vertAlign w:val="superscript"/>
          <w:rtl/>
        </w:rPr>
        <w:t>)</w:t>
      </w:r>
      <w:r w:rsidRPr="002A7B7E">
        <w:rPr>
          <w:rFonts w:ascii="Traditional Arabic" w:hAnsi="Traditional Arabic" w:cs="Traditional Arabic"/>
          <w:sz w:val="32"/>
          <w:szCs w:val="32"/>
          <w:rtl/>
        </w:rPr>
        <w:t>.</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وهذه من السنن الإلهية أن كل من أعرض عن شيء من الحق وقع في باطل مقابل لما أعرض عنه من الحق</w:t>
      </w:r>
      <w:r w:rsidRPr="002A7B7E">
        <w:rPr>
          <w:rFonts w:ascii="Traditional Arabic" w:hAnsi="Traditional Arabic" w:cs="Traditional Arabic"/>
          <w:sz w:val="32"/>
          <w:szCs w:val="32"/>
          <w:vertAlign w:val="superscript"/>
          <w:rtl/>
        </w:rPr>
        <w:t>(</w:t>
      </w:r>
      <w:r w:rsidRPr="002A7B7E">
        <w:rPr>
          <w:rStyle w:val="FootnoteReference"/>
          <w:rFonts w:ascii="Traditional Arabic" w:hAnsi="Traditional Arabic" w:cs="Traditional Arabic"/>
          <w:sz w:val="32"/>
          <w:szCs w:val="32"/>
          <w:rtl/>
        </w:rPr>
        <w:footnoteReference w:id="5"/>
      </w:r>
      <w:r w:rsidRPr="002A7B7E">
        <w:rPr>
          <w:rFonts w:ascii="Traditional Arabic" w:hAnsi="Traditional Arabic" w:cs="Traditional Arabic"/>
          <w:sz w:val="32"/>
          <w:szCs w:val="32"/>
          <w:vertAlign w:val="superscript"/>
          <w:rtl/>
        </w:rPr>
        <w:t>)</w:t>
      </w:r>
      <w:r w:rsidRPr="002A7B7E">
        <w:rPr>
          <w:rFonts w:ascii="Traditional Arabic" w:hAnsi="Traditional Arabic" w:cs="Traditional Arabic"/>
          <w:sz w:val="32"/>
          <w:szCs w:val="32"/>
          <w:rtl/>
        </w:rPr>
        <w:t xml:space="preserve">. </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إضافة إلى أن أهواء النفوس وحظوظها تستروح للجديد والمحدث, وتتنصل من تكاليف الشرع كما قال الشاطبي: (</w:t>
      </w:r>
      <w:r w:rsidRPr="005638CC">
        <w:rPr>
          <w:rFonts w:ascii="Traditional Arabic" w:hAnsi="Traditional Arabic" w:cs="Traditional Arabic"/>
          <w:b/>
          <w:bCs/>
          <w:sz w:val="32"/>
          <w:szCs w:val="32"/>
          <w:rtl/>
        </w:rPr>
        <w:t>فإن النفوس قد تملّ وتسأم من الدوام على العبادات المرتبة, فإذا جُدِّد لها أمره لا تعهده, حصل لها نشاط آخر ... فلكل جديد لذة</w:t>
      </w:r>
      <w:r w:rsidRPr="002A7B7E">
        <w:rPr>
          <w:rFonts w:ascii="Traditional Arabic" w:hAnsi="Traditional Arabic" w:cs="Traditional Arabic"/>
          <w:sz w:val="32"/>
          <w:szCs w:val="32"/>
          <w:rtl/>
        </w:rPr>
        <w:t>)</w:t>
      </w:r>
      <w:r w:rsidRPr="002A7B7E">
        <w:rPr>
          <w:rFonts w:ascii="Traditional Arabic" w:hAnsi="Traditional Arabic" w:cs="Traditional Arabic"/>
          <w:sz w:val="32"/>
          <w:szCs w:val="32"/>
          <w:vertAlign w:val="superscript"/>
          <w:rtl/>
        </w:rPr>
        <w:t xml:space="preserve"> (</w:t>
      </w:r>
      <w:r w:rsidRPr="002A7B7E">
        <w:rPr>
          <w:rStyle w:val="FootnoteReference"/>
          <w:rFonts w:ascii="Traditional Arabic" w:hAnsi="Traditional Arabic" w:cs="Traditional Arabic"/>
          <w:sz w:val="32"/>
          <w:szCs w:val="32"/>
          <w:rtl/>
        </w:rPr>
        <w:footnoteReference w:id="6"/>
      </w:r>
      <w:r w:rsidRPr="002A7B7E">
        <w:rPr>
          <w:rFonts w:ascii="Traditional Arabic" w:hAnsi="Traditional Arabic" w:cs="Traditional Arabic"/>
          <w:sz w:val="32"/>
          <w:szCs w:val="32"/>
          <w:vertAlign w:val="superscript"/>
          <w:rtl/>
        </w:rPr>
        <w:t>)</w:t>
      </w:r>
      <w:r w:rsidRPr="002A7B7E">
        <w:rPr>
          <w:rFonts w:ascii="Traditional Arabic" w:hAnsi="Traditional Arabic" w:cs="Traditional Arabic"/>
          <w:sz w:val="32"/>
          <w:szCs w:val="32"/>
          <w:rtl/>
        </w:rPr>
        <w:t xml:space="preserve">. </w:t>
      </w:r>
    </w:p>
    <w:p w:rsidR="0012399A" w:rsidRPr="002A7B7E" w:rsidRDefault="0012399A" w:rsidP="0012399A">
      <w:pPr>
        <w:tabs>
          <w:tab w:val="left" w:pos="0"/>
        </w:tabs>
        <w:spacing w:after="0" w:line="240" w:lineRule="auto"/>
        <w:ind w:firstLine="284"/>
        <w:jc w:val="both"/>
        <w:rPr>
          <w:rFonts w:ascii="Traditional Arabic" w:hAnsi="Traditional Arabic" w:cs="Traditional Arabic"/>
          <w:sz w:val="32"/>
          <w:szCs w:val="32"/>
          <w:rtl/>
        </w:rPr>
      </w:pPr>
      <w:r w:rsidRPr="002A7B7E">
        <w:rPr>
          <w:rFonts w:ascii="Traditional Arabic" w:hAnsi="Traditional Arabic" w:cs="Traditional Arabic"/>
          <w:sz w:val="32"/>
          <w:szCs w:val="32"/>
          <w:rtl/>
        </w:rPr>
        <w:t>ويبقى لزوم الشرع هو بمنزلة سفينة نوح من ركبها نجا, ومن تخلّف عنها هلك, واقتصاد في سنة خير من اجتهاد في بدعة.</w:t>
      </w:r>
    </w:p>
    <w:p w:rsidR="0012399A" w:rsidRPr="002A7B7E" w:rsidRDefault="0012399A" w:rsidP="002A7B7E">
      <w:pPr>
        <w:tabs>
          <w:tab w:val="left" w:pos="0"/>
        </w:tabs>
        <w:spacing w:after="0" w:line="240" w:lineRule="auto"/>
        <w:ind w:firstLine="284"/>
        <w:jc w:val="both"/>
        <w:rPr>
          <w:rFonts w:ascii="Traditional Arabic" w:hAnsi="Traditional Arabic" w:cs="Traditional Arabic"/>
          <w:sz w:val="32"/>
          <w:szCs w:val="32"/>
        </w:rPr>
      </w:pPr>
      <w:r w:rsidRPr="002A7B7E">
        <w:rPr>
          <w:rFonts w:ascii="Traditional Arabic" w:hAnsi="Traditional Arabic" w:cs="Traditional Arabic"/>
          <w:sz w:val="32"/>
          <w:szCs w:val="32"/>
          <w:rtl/>
        </w:rPr>
        <w:t>والمقصود أن أعظم سبيل لرفع التبرك البدعي ودفعه إنما هو بإحياء التبرك الشرعي ومجالاته</w:t>
      </w:r>
      <w:r w:rsidR="002A7B7E" w:rsidRPr="002A7B7E">
        <w:rPr>
          <w:rFonts w:ascii="Traditional Arabic" w:hAnsi="Traditional Arabic" w:cs="Traditional Arabic"/>
          <w:sz w:val="32"/>
          <w:szCs w:val="32"/>
          <w:rtl/>
        </w:rPr>
        <w:t xml:space="preserve"> </w:t>
      </w:r>
      <w:r w:rsidRPr="002A7B7E">
        <w:rPr>
          <w:rFonts w:ascii="Traditional Arabic" w:hAnsi="Traditional Arabic" w:cs="Traditional Arabic"/>
          <w:sz w:val="32"/>
          <w:szCs w:val="32"/>
          <w:rtl/>
        </w:rPr>
        <w:t>وإبرازه وفق الأدلة الشرعية, وترويض النفس على لزوم الهدى ومجانبة الهوى وبالله التوفيق.</w:t>
      </w:r>
    </w:p>
    <w:p w:rsidR="00256C4E" w:rsidRPr="002A7B7E" w:rsidRDefault="00412188">
      <w:pPr>
        <w:rPr>
          <w:rFonts w:ascii="Traditional Arabic" w:hAnsi="Traditional Arabic" w:cs="Traditional Arabic"/>
          <w:sz w:val="32"/>
          <w:szCs w:val="32"/>
        </w:rPr>
      </w:pPr>
    </w:p>
    <w:sectPr w:rsidR="00256C4E" w:rsidRPr="002A7B7E" w:rsidSect="005638CC">
      <w:head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88" w:rsidRDefault="00412188" w:rsidP="0012399A">
      <w:pPr>
        <w:spacing w:after="0" w:line="240" w:lineRule="auto"/>
      </w:pPr>
      <w:r>
        <w:separator/>
      </w:r>
    </w:p>
  </w:endnote>
  <w:endnote w:type="continuationSeparator" w:id="0">
    <w:p w:rsidR="00412188" w:rsidRDefault="00412188" w:rsidP="001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88" w:rsidRDefault="00412188" w:rsidP="0012399A">
      <w:pPr>
        <w:spacing w:after="0" w:line="240" w:lineRule="auto"/>
      </w:pPr>
      <w:r>
        <w:separator/>
      </w:r>
    </w:p>
  </w:footnote>
  <w:footnote w:type="continuationSeparator" w:id="0">
    <w:p w:rsidR="00412188" w:rsidRDefault="00412188" w:rsidP="0012399A">
      <w:pPr>
        <w:spacing w:after="0" w:line="240" w:lineRule="auto"/>
      </w:pPr>
      <w:r>
        <w:continuationSeparator/>
      </w:r>
    </w:p>
  </w:footnote>
  <w:footnote w:id="1">
    <w:p w:rsidR="0012399A" w:rsidRPr="00433890" w:rsidRDefault="0012399A" w:rsidP="0012399A">
      <w:pPr>
        <w:pStyle w:val="FootnoteText"/>
        <w:jc w:val="both"/>
        <w:rPr>
          <w:rFonts w:ascii="mylotus" w:hAnsi="mylotus" w:cs="mylotus"/>
          <w:sz w:val="24"/>
          <w:szCs w:val="24"/>
        </w:rPr>
      </w:pPr>
      <w:r w:rsidRPr="00433890">
        <w:rPr>
          <w:rFonts w:ascii="mylotus" w:hAnsi="mylotus" w:cs="mylotus"/>
          <w:sz w:val="24"/>
          <w:szCs w:val="24"/>
          <w:rtl/>
        </w:rPr>
        <w:t>(</w:t>
      </w:r>
      <w:r w:rsidRPr="00433890">
        <w:rPr>
          <w:rFonts w:ascii="mylotus" w:hAnsi="mylotus" w:cs="mylotus"/>
          <w:sz w:val="24"/>
          <w:szCs w:val="24"/>
        </w:rPr>
        <w:t>(</w:t>
      </w:r>
      <w:r w:rsidRPr="00433890">
        <w:rPr>
          <w:rStyle w:val="FootnoteReference"/>
          <w:rFonts w:ascii="mylotus" w:hAnsi="mylotus" w:cs="mylotus"/>
          <w:sz w:val="24"/>
          <w:szCs w:val="24"/>
        </w:rPr>
        <w:footnoteRef/>
      </w:r>
      <w:r w:rsidRPr="00433890">
        <w:rPr>
          <w:rFonts w:ascii="mylotus" w:hAnsi="mylotus" w:cs="mylotus"/>
          <w:sz w:val="24"/>
          <w:szCs w:val="24"/>
          <w:rtl/>
        </w:rPr>
        <w:t xml:space="preserve"> رواه البخاري</w:t>
      </w:r>
      <w:r w:rsidRPr="00433890">
        <w:rPr>
          <w:rFonts w:ascii="mylotus" w:hAnsi="mylotus" w:cs="mylotus" w:hint="cs"/>
          <w:sz w:val="24"/>
          <w:szCs w:val="24"/>
          <w:rtl/>
        </w:rPr>
        <w:t>، (5/2075)</w:t>
      </w:r>
      <w:r w:rsidRPr="00433890">
        <w:rPr>
          <w:rFonts w:ascii="mylotus" w:hAnsi="mylotus" w:cs="mylotus"/>
          <w:sz w:val="24"/>
          <w:szCs w:val="24"/>
          <w:rtl/>
        </w:rPr>
        <w:t>.</w:t>
      </w:r>
    </w:p>
  </w:footnote>
  <w:footnote w:id="2">
    <w:p w:rsidR="0012399A" w:rsidRPr="00433890" w:rsidRDefault="0012399A" w:rsidP="0012399A">
      <w:pPr>
        <w:pStyle w:val="FootnoteText"/>
        <w:jc w:val="both"/>
        <w:rPr>
          <w:rFonts w:ascii="mylotus" w:hAnsi="mylotus" w:cs="mylotus"/>
          <w:sz w:val="24"/>
          <w:szCs w:val="24"/>
        </w:rPr>
      </w:pPr>
      <w:r w:rsidRPr="00433890">
        <w:rPr>
          <w:rFonts w:ascii="mylotus" w:hAnsi="mylotus" w:cs="mylotus"/>
          <w:sz w:val="24"/>
          <w:szCs w:val="24"/>
          <w:rtl/>
        </w:rPr>
        <w:t>(</w:t>
      </w:r>
      <w:r w:rsidRPr="00433890">
        <w:rPr>
          <w:rFonts w:ascii="mylotus" w:hAnsi="mylotus" w:cs="mylotus"/>
          <w:sz w:val="24"/>
          <w:szCs w:val="24"/>
        </w:rPr>
        <w:t>(</w:t>
      </w:r>
      <w:r w:rsidRPr="00433890">
        <w:rPr>
          <w:rFonts w:ascii="mylotus" w:hAnsi="mylotus" w:cs="mylotus"/>
          <w:sz w:val="24"/>
          <w:szCs w:val="24"/>
        </w:rPr>
        <w:footnoteRef/>
      </w:r>
      <w:r w:rsidRPr="00433890">
        <w:rPr>
          <w:rFonts w:ascii="mylotus" w:hAnsi="mylotus" w:cs="mylotus"/>
          <w:sz w:val="24"/>
          <w:szCs w:val="24"/>
          <w:rtl/>
        </w:rPr>
        <w:t xml:space="preserve"> الفتح (1/145، 146).</w:t>
      </w:r>
    </w:p>
  </w:footnote>
  <w:footnote w:id="3">
    <w:p w:rsidR="0012399A" w:rsidRPr="00433890" w:rsidRDefault="0012399A" w:rsidP="0012399A">
      <w:pPr>
        <w:pStyle w:val="FootnoteText"/>
        <w:jc w:val="both"/>
        <w:rPr>
          <w:rFonts w:ascii="mylotus" w:hAnsi="mylotus" w:cs="mylotus"/>
          <w:sz w:val="24"/>
          <w:szCs w:val="24"/>
        </w:rPr>
      </w:pPr>
      <w:r w:rsidRPr="00433890">
        <w:rPr>
          <w:rFonts w:ascii="mylotus" w:hAnsi="mylotus" w:cs="mylotus"/>
          <w:sz w:val="24"/>
          <w:szCs w:val="24"/>
          <w:rtl/>
        </w:rPr>
        <w:t>(</w:t>
      </w:r>
      <w:r w:rsidRPr="00433890">
        <w:rPr>
          <w:rFonts w:ascii="mylotus" w:hAnsi="mylotus" w:cs="mylotus"/>
          <w:sz w:val="24"/>
          <w:szCs w:val="24"/>
        </w:rPr>
        <w:t xml:space="preserve"> (</w:t>
      </w:r>
      <w:r w:rsidRPr="00433890">
        <w:rPr>
          <w:rFonts w:ascii="mylotus" w:hAnsi="mylotus" w:cs="mylotus"/>
          <w:sz w:val="24"/>
          <w:szCs w:val="24"/>
        </w:rPr>
        <w:footnoteRef/>
      </w:r>
      <w:r w:rsidRPr="00433890">
        <w:rPr>
          <w:rFonts w:ascii="mylotus" w:hAnsi="mylotus" w:cs="mylotus"/>
          <w:sz w:val="24"/>
          <w:szCs w:val="24"/>
          <w:rtl/>
        </w:rPr>
        <w:t>انظر الدرر السنية، (11/85 ).</w:t>
      </w:r>
    </w:p>
  </w:footnote>
  <w:footnote w:id="4">
    <w:p w:rsidR="0012399A" w:rsidRPr="00433890" w:rsidRDefault="0012399A" w:rsidP="0012399A">
      <w:pPr>
        <w:pStyle w:val="FootnoteText"/>
        <w:jc w:val="both"/>
        <w:rPr>
          <w:rFonts w:ascii="mylotus" w:hAnsi="mylotus" w:cs="mylotus"/>
          <w:sz w:val="24"/>
          <w:szCs w:val="24"/>
        </w:rPr>
      </w:pPr>
      <w:r w:rsidRPr="00433890">
        <w:rPr>
          <w:rFonts w:ascii="mylotus" w:hAnsi="mylotus" w:cs="mylotus"/>
          <w:sz w:val="24"/>
          <w:szCs w:val="24"/>
          <w:rtl/>
        </w:rPr>
        <w:t>(</w:t>
      </w:r>
      <w:r w:rsidRPr="00433890">
        <w:rPr>
          <w:rFonts w:ascii="mylotus" w:hAnsi="mylotus" w:cs="mylotus"/>
          <w:sz w:val="24"/>
          <w:szCs w:val="24"/>
        </w:rPr>
        <w:t xml:space="preserve"> (</w:t>
      </w:r>
      <w:r w:rsidRPr="00433890">
        <w:rPr>
          <w:rFonts w:ascii="mylotus" w:hAnsi="mylotus" w:cs="mylotus"/>
          <w:sz w:val="24"/>
          <w:szCs w:val="24"/>
        </w:rPr>
        <w:footnoteRef/>
      </w:r>
      <w:r w:rsidRPr="00433890">
        <w:rPr>
          <w:rFonts w:ascii="mylotus" w:hAnsi="mylotus" w:cs="mylotus"/>
          <w:sz w:val="24"/>
          <w:szCs w:val="24"/>
          <w:rtl/>
        </w:rPr>
        <w:t>مجموع الفتاوى، (7/173).</w:t>
      </w:r>
    </w:p>
  </w:footnote>
  <w:footnote w:id="5">
    <w:p w:rsidR="0012399A" w:rsidRPr="00433890" w:rsidRDefault="0012399A" w:rsidP="0012399A">
      <w:pPr>
        <w:pStyle w:val="FootnoteText"/>
        <w:jc w:val="both"/>
        <w:rPr>
          <w:rFonts w:ascii="mylotus" w:hAnsi="mylotus" w:cs="mylotus"/>
          <w:sz w:val="24"/>
          <w:szCs w:val="24"/>
        </w:rPr>
      </w:pPr>
      <w:r w:rsidRPr="00433890">
        <w:rPr>
          <w:rFonts w:ascii="mylotus" w:hAnsi="mylotus" w:cs="mylotus"/>
          <w:sz w:val="24"/>
          <w:szCs w:val="24"/>
          <w:rtl/>
        </w:rPr>
        <w:t>(</w:t>
      </w:r>
      <w:r w:rsidRPr="00433890">
        <w:rPr>
          <w:rFonts w:ascii="mylotus" w:hAnsi="mylotus" w:cs="mylotus"/>
          <w:sz w:val="24"/>
          <w:szCs w:val="24"/>
        </w:rPr>
        <w:t xml:space="preserve"> (</w:t>
      </w:r>
      <w:r w:rsidRPr="00433890">
        <w:rPr>
          <w:rFonts w:ascii="mylotus" w:hAnsi="mylotus" w:cs="mylotus"/>
          <w:sz w:val="24"/>
          <w:szCs w:val="24"/>
        </w:rPr>
        <w:footnoteRef/>
      </w:r>
      <w:r w:rsidRPr="00433890">
        <w:rPr>
          <w:rFonts w:ascii="mylotus" w:hAnsi="mylotus" w:cs="mylotus"/>
          <w:sz w:val="24"/>
          <w:szCs w:val="24"/>
          <w:rtl/>
        </w:rPr>
        <w:t>ينظر: مدارج السالكين، (1/165), وتفسير السعدي، (1/18).</w:t>
      </w:r>
    </w:p>
  </w:footnote>
  <w:footnote w:id="6">
    <w:p w:rsidR="0012399A" w:rsidRPr="00433890" w:rsidRDefault="0012399A" w:rsidP="0012399A">
      <w:pPr>
        <w:pStyle w:val="FootnoteText"/>
        <w:jc w:val="both"/>
        <w:rPr>
          <w:rFonts w:ascii="mylotus" w:hAnsi="mylotus" w:cs="mylotus"/>
          <w:sz w:val="24"/>
          <w:szCs w:val="24"/>
        </w:rPr>
      </w:pPr>
      <w:r w:rsidRPr="00433890">
        <w:rPr>
          <w:rFonts w:ascii="mylotus" w:hAnsi="mylotus" w:cs="mylotus"/>
          <w:sz w:val="24"/>
          <w:szCs w:val="24"/>
          <w:rtl/>
        </w:rPr>
        <w:t>(</w:t>
      </w:r>
      <w:r w:rsidRPr="00433890">
        <w:rPr>
          <w:rFonts w:ascii="mylotus" w:hAnsi="mylotus" w:cs="mylotus"/>
          <w:sz w:val="24"/>
          <w:szCs w:val="24"/>
        </w:rPr>
        <w:t xml:space="preserve"> (</w:t>
      </w:r>
      <w:r w:rsidRPr="00433890">
        <w:rPr>
          <w:rFonts w:ascii="mylotus" w:hAnsi="mylotus" w:cs="mylotus"/>
          <w:sz w:val="24"/>
          <w:szCs w:val="24"/>
        </w:rPr>
        <w:footnoteRef/>
      </w:r>
      <w:r w:rsidRPr="00433890">
        <w:rPr>
          <w:rFonts w:ascii="mylotus" w:hAnsi="mylotus" w:cs="mylotus"/>
          <w:sz w:val="24"/>
          <w:szCs w:val="24"/>
          <w:rtl/>
        </w:rPr>
        <w:t>الاعتصام، (1/41).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CC" w:rsidRDefault="005638CC">
    <w:pPr>
      <w:pStyle w:val="Header"/>
    </w:pPr>
    <w:r w:rsidRPr="005638CC">
      <w:rPr>
        <w:noProof/>
        <w:rtl/>
      </w:rPr>
      <w:drawing>
        <wp:anchor distT="0" distB="0" distL="114300" distR="114300" simplePos="0" relativeHeight="251658240" behindDoc="0" locked="0" layoutInCell="1" allowOverlap="1">
          <wp:simplePos x="0" y="0"/>
          <wp:positionH relativeFrom="column">
            <wp:posOffset>-781050</wp:posOffset>
          </wp:positionH>
          <wp:positionV relativeFrom="paragraph">
            <wp:posOffset>-97155</wp:posOffset>
          </wp:positionV>
          <wp:extent cx="1695450" cy="1190625"/>
          <wp:effectExtent l="0" t="0" r="0" b="0"/>
          <wp:wrapTopAndBottom/>
          <wp:docPr id="1" name="Picture 1" descr="D:\work\محمد المقدي\2018\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2018\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99A"/>
    <w:rsid w:val="000B7BE3"/>
    <w:rsid w:val="0012399A"/>
    <w:rsid w:val="002504E3"/>
    <w:rsid w:val="002A7B7E"/>
    <w:rsid w:val="003822C8"/>
    <w:rsid w:val="00412188"/>
    <w:rsid w:val="005638CC"/>
    <w:rsid w:val="00B32555"/>
    <w:rsid w:val="00C90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E9820-9BF9-4BF7-B3F6-060128F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9A"/>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399A"/>
    <w:pPr>
      <w:spacing w:after="0" w:line="240" w:lineRule="auto"/>
    </w:pPr>
    <w:rPr>
      <w:sz w:val="20"/>
      <w:szCs w:val="20"/>
    </w:rPr>
  </w:style>
  <w:style w:type="character" w:customStyle="1" w:styleId="FootnoteTextChar">
    <w:name w:val="Footnote Text Char"/>
    <w:basedOn w:val="DefaultParagraphFont"/>
    <w:link w:val="FootnoteText"/>
    <w:uiPriority w:val="99"/>
    <w:rsid w:val="0012399A"/>
    <w:rPr>
      <w:rFonts w:ascii="Calibri" w:eastAsia="Calibri" w:hAnsi="Calibri" w:cs="Arial"/>
      <w:sz w:val="20"/>
      <w:szCs w:val="20"/>
    </w:rPr>
  </w:style>
  <w:style w:type="character" w:styleId="FootnoteReference">
    <w:name w:val="footnote reference"/>
    <w:basedOn w:val="DefaultParagraphFont"/>
    <w:uiPriority w:val="99"/>
    <w:unhideWhenUsed/>
    <w:rsid w:val="0012399A"/>
    <w:rPr>
      <w:vertAlign w:val="superscript"/>
    </w:rPr>
  </w:style>
  <w:style w:type="paragraph" w:styleId="Header">
    <w:name w:val="header"/>
    <w:basedOn w:val="Normal"/>
    <w:link w:val="HeaderChar"/>
    <w:uiPriority w:val="99"/>
    <w:unhideWhenUsed/>
    <w:rsid w:val="005638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38CC"/>
    <w:rPr>
      <w:rFonts w:ascii="Calibri" w:eastAsia="Calibri" w:hAnsi="Calibri" w:cs="Arial"/>
    </w:rPr>
  </w:style>
  <w:style w:type="paragraph" w:styleId="Footer">
    <w:name w:val="footer"/>
    <w:basedOn w:val="Normal"/>
    <w:link w:val="FooterChar"/>
    <w:uiPriority w:val="99"/>
    <w:unhideWhenUsed/>
    <w:rsid w:val="005638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38C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Windows User</cp:lastModifiedBy>
  <cp:revision>3</cp:revision>
  <dcterms:created xsi:type="dcterms:W3CDTF">2013-04-20T14:44:00Z</dcterms:created>
  <dcterms:modified xsi:type="dcterms:W3CDTF">2018-12-02T15:22:00Z</dcterms:modified>
</cp:coreProperties>
</file>