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59" w:rsidRPr="008C4C59" w:rsidRDefault="008C4C59" w:rsidP="008C4C59">
      <w:pPr>
        <w:jc w:val="center"/>
        <w:rPr>
          <w:rFonts w:ascii="Traditional Arabic" w:eastAsia="Calibri" w:hAnsi="Traditional Arabic" w:cs="Traditional Arabic"/>
          <w:b/>
          <w:bCs/>
          <w:sz w:val="32"/>
          <w:szCs w:val="32"/>
          <w:rtl/>
        </w:rPr>
      </w:pPr>
      <w:r w:rsidRPr="008C4C59">
        <w:rPr>
          <w:rFonts w:ascii="Traditional Arabic" w:eastAsia="Calibri" w:hAnsi="Traditional Arabic" w:cs="Traditional Arabic" w:hint="cs"/>
          <w:b/>
          <w:bCs/>
          <w:sz w:val="32"/>
          <w:szCs w:val="32"/>
          <w:rtl/>
        </w:rPr>
        <w:t>ثناء الله عزوجل</w:t>
      </w:r>
      <w:r w:rsidRPr="008C4C59">
        <w:rPr>
          <w:rFonts w:ascii="Traditional Arabic" w:eastAsia="Calibri" w:hAnsi="Traditional Arabic" w:cs="Traditional Arabic"/>
          <w:b/>
          <w:bCs/>
          <w:sz w:val="32"/>
          <w:szCs w:val="32"/>
          <w:rtl/>
        </w:rPr>
        <w:t xml:space="preserve"> على أهل</w:t>
      </w:r>
      <w:r w:rsidRPr="008C4C59">
        <w:rPr>
          <w:rFonts w:ascii="Traditional Arabic" w:eastAsia="Calibri" w:hAnsi="Traditional Arabic" w:cs="Traditional Arabic" w:hint="cs"/>
          <w:b/>
          <w:bCs/>
          <w:sz w:val="32"/>
          <w:szCs w:val="32"/>
          <w:rtl/>
        </w:rPr>
        <w:t xml:space="preserve"> الشكر</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إن الحمد لله والصلاة والسلام على رسول الله ثم أما بعد؛ فإنه </w:t>
      </w:r>
      <w:r w:rsidRPr="008C4C59">
        <w:rPr>
          <w:rFonts w:ascii="Traditional Arabic" w:eastAsia="Calibri" w:hAnsi="Traditional Arabic" w:cs="Traditional Arabic"/>
          <w:sz w:val="32"/>
          <w:szCs w:val="32"/>
          <w:rtl/>
        </w:rPr>
        <w:t>لدى استعراضنا لبعض نصوص الكتاب والسنة، نجد أن الشكر لله تعالى من أهم السمات التي اتصف بها خواص أوليائه، من الأنبياء والمرسلين والصالح</w:t>
      </w:r>
      <w:bookmarkStart w:id="0" w:name="_GoBack"/>
      <w:bookmarkEnd w:id="0"/>
      <w:r w:rsidRPr="008C4C59">
        <w:rPr>
          <w:rFonts w:ascii="Traditional Arabic" w:eastAsia="Calibri" w:hAnsi="Traditional Arabic" w:cs="Traditional Arabic"/>
          <w:sz w:val="32"/>
          <w:szCs w:val="32"/>
          <w:rtl/>
        </w:rPr>
        <w:t>ين من عباد الله، وإليكم بعض النماذج من شكر بعض الأنبياء:</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يقول الله عن عبده الشكور نوح عليه السلام: </w:t>
      </w:r>
      <w:r w:rsidRPr="008C4C59">
        <w:rPr>
          <w:rFonts w:ascii="Traditional Arabic" w:eastAsia="Calibri" w:hAnsi="Traditional Arabic" w:cs="Traditional Arabic"/>
          <w:b/>
          <w:bCs/>
          <w:sz w:val="32"/>
          <w:szCs w:val="32"/>
          <w:rtl/>
        </w:rPr>
        <w:t>{ذُرِّيَّةَ مَنْ حَمَلْنَا مَعَ نُوحٍ إِنَّهُ كَانَ عَبْدًا شَكُورًا}</w:t>
      </w:r>
      <w:r w:rsidRPr="008C4C59">
        <w:rPr>
          <w:rFonts w:ascii="Traditional Arabic" w:eastAsia="Calibri" w:hAnsi="Traditional Arabic" w:cs="Traditional Arabic"/>
          <w:sz w:val="32"/>
          <w:szCs w:val="32"/>
          <w:rtl/>
        </w:rPr>
        <w:t xml:space="preserve"> [الإسراء: 3]، يقول الله تعالى لذرية من حمله مع نوح مهيجًا ومنبهًا على المنة، أي يا سلالة من نجينا فحملنا مع نوح في السفينة تشبهوا بأبيكم</w:t>
      </w:r>
      <w:r w:rsidRPr="008C4C59">
        <w:rPr>
          <w:rFonts w:ascii="Traditional Arabic" w:eastAsia="Calibri" w:hAnsi="Traditional Arabic" w:cs="Traditional Arabic"/>
          <w:sz w:val="32"/>
          <w:szCs w:val="32"/>
          <w:vertAlign w:val="superscript"/>
          <w:rtl/>
        </w:rPr>
        <w:footnoteReference w:id="1"/>
      </w:r>
      <w:r>
        <w:rPr>
          <w:rFonts w:ascii="Traditional Arabic" w:eastAsia="Calibri" w:hAnsi="Traditional Arabic" w:cs="Traditional Arabic"/>
          <w:sz w:val="32"/>
          <w:szCs w:val="32"/>
          <w:rtl/>
        </w:rPr>
        <w:t xml:space="preserve">، فـ </w:t>
      </w:r>
      <w:r w:rsidRPr="008C4C59">
        <w:rPr>
          <w:rFonts w:ascii="Traditional Arabic" w:eastAsia="Calibri" w:hAnsi="Traditional Arabic" w:cs="Traditional Arabic"/>
          <w:b/>
          <w:bCs/>
          <w:sz w:val="32"/>
          <w:szCs w:val="32"/>
          <w:rtl/>
        </w:rPr>
        <w:t>{</w:t>
      </w:r>
      <w:r w:rsidRPr="008C4C59">
        <w:rPr>
          <w:rFonts w:ascii="Traditional Arabic" w:eastAsia="Calibri" w:hAnsi="Traditional Arabic" w:cs="Traditional Arabic"/>
          <w:b/>
          <w:bCs/>
          <w:sz w:val="32"/>
          <w:szCs w:val="32"/>
          <w:rtl/>
        </w:rPr>
        <w:t>إِنَّهُ كَانَ عَبْدًا شَكُورًا}</w:t>
      </w:r>
      <w:r w:rsidRPr="008C4C59">
        <w:rPr>
          <w:rFonts w:ascii="Traditional Arabic" w:eastAsia="Calibri" w:hAnsi="Traditional Arabic" w:cs="Traditional Arabic"/>
          <w:sz w:val="32"/>
          <w:szCs w:val="32"/>
          <w:rtl/>
        </w:rPr>
        <w:t>، فجعله كالعلة لما قبله إيذانا بكون الشكر من أعظم أسباب الخير ومن أفضل الطاعات، وحثًا لذريته على شكر الله سبحانه.</w:t>
      </w:r>
      <w:r w:rsidRPr="008C4C59">
        <w:rPr>
          <w:rFonts w:ascii="Traditional Arabic" w:eastAsia="Calibri" w:hAnsi="Traditional Arabic" w:cs="Traditional Arabic"/>
          <w:sz w:val="32"/>
          <w:szCs w:val="32"/>
          <w:vertAlign w:val="superscript"/>
          <w:rtl/>
        </w:rPr>
        <w:footnoteReference w:id="2"/>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وقد وصف الباري خليله بالشكر في قوله تعالى: </w:t>
      </w:r>
      <w:r w:rsidRPr="008C4C59">
        <w:rPr>
          <w:rFonts w:ascii="Traditional Arabic" w:eastAsia="Calibri" w:hAnsi="Traditional Arabic" w:cs="Traditional Arabic"/>
          <w:b/>
          <w:bCs/>
          <w:sz w:val="32"/>
          <w:szCs w:val="32"/>
          <w:rtl/>
        </w:rPr>
        <w:t xml:space="preserve">{إِنَّ إِبْرَاهِيمَ كَانَ أُمَّةً قَانِتًا لِلَّهِ حَنِيفًا وَلَمْ يَكُ مِنَ الْمُشْرِكِينَ} </w:t>
      </w:r>
      <w:r w:rsidRPr="008C4C59">
        <w:rPr>
          <w:rFonts w:ascii="Traditional Arabic" w:eastAsia="Calibri" w:hAnsi="Traditional Arabic" w:cs="Traditional Arabic"/>
          <w:sz w:val="32"/>
          <w:szCs w:val="32"/>
          <w:rtl/>
        </w:rPr>
        <w:t>[النحل: 120]، بعد ما ذكر الله جملة من الصفات الحميدة التي اتصف بها خليله إبراهيم ختمها بوصفه بأنه كان شاكرًا لأنعمه عليه، وقد (أخبر عنه سبحانه بأنه أمة، أي قدوة يؤتم به في الخير، وانه قانت لله، والقانت هو المطيع المقيم على طاعته، والحنيف هو المقبل على الله المعرض عما سواه، ثم ختم هذه الصفات بأنه شاكرًا لأنعمه، فجعل الشكر غاية خليله)</w:t>
      </w:r>
      <w:r w:rsidRPr="008C4C59">
        <w:rPr>
          <w:rFonts w:ascii="Traditional Arabic" w:eastAsia="Calibri" w:hAnsi="Traditional Arabic" w:cs="Traditional Arabic"/>
          <w:sz w:val="32"/>
          <w:szCs w:val="32"/>
          <w:vertAlign w:val="superscript"/>
          <w:rtl/>
        </w:rPr>
        <w:footnoteReference w:id="3"/>
      </w:r>
      <w:r w:rsidRPr="008C4C59">
        <w:rPr>
          <w:rFonts w:ascii="Traditional Arabic" w:eastAsia="Calibri" w:hAnsi="Traditional Arabic" w:cs="Traditional Arabic"/>
          <w:sz w:val="32"/>
          <w:szCs w:val="32"/>
          <w:rtl/>
        </w:rPr>
        <w:t>.</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وكان سليمان عليه السلام يحمد الله عز وجل أن أنعم عليه ووالديه نعمًا كثيرة، ومنها النبوة، والحكمة، ومعرفة منطق الطير وغيرها من النعم، ولذلك كان من دعائه: </w:t>
      </w:r>
      <w:r w:rsidRPr="008C4C59">
        <w:rPr>
          <w:rFonts w:ascii="Traditional Arabic" w:eastAsia="Calibri" w:hAnsi="Traditional Arabic" w:cs="Traditional Arabic"/>
          <w:b/>
          <w:bCs/>
          <w:sz w:val="32"/>
          <w:szCs w:val="32"/>
          <w:rtl/>
        </w:rPr>
        <w:t>{فَتَبَسَّمَ ضَاحِكًا مِنْ قَوْلِهَا وَقَالَ رَبِّ أَوْزِعْنِي أَنْ أَشْكُرَ نِعْمَتَكَ الَّتِي أَنْعَمْتَ عَلَيَّ وَعَلَى وَالِدَيَّ وَأَنْ أَعْمَلَ صَالِحًا تَرْضَاهُ وَأَدْخِلْنِي بِرَحْمَتِكَ فِي عِبَادِكَ الصَّالِحِينَ}</w:t>
      </w:r>
      <w:r w:rsidRPr="008C4C59">
        <w:rPr>
          <w:rFonts w:ascii="Traditional Arabic" w:eastAsia="Calibri" w:hAnsi="Traditional Arabic" w:cs="Traditional Arabic"/>
          <w:sz w:val="32"/>
          <w:szCs w:val="32"/>
          <w:rtl/>
        </w:rPr>
        <w:t xml:space="preserve"> [النمل: 19]، أي ألهمني أن أشكر نعمتك التي مننت بها علي من تعليمي منطق الطير والحيوان، وعلى والدي بالإسلام لك والإيمان بك، ووفقني أن أعمل عملًا تحبه وترضاه، فإذا توفيتني فألحقني بالصالحين من عبادك، والرفيق الأعلى من أوليائك</w:t>
      </w:r>
      <w:r w:rsidRPr="008C4C59">
        <w:rPr>
          <w:rFonts w:ascii="Traditional Arabic" w:eastAsia="Calibri" w:hAnsi="Traditional Arabic" w:cs="Traditional Arabic"/>
          <w:sz w:val="32"/>
          <w:szCs w:val="32"/>
          <w:vertAlign w:val="superscript"/>
          <w:rtl/>
        </w:rPr>
        <w:footnoteReference w:id="4"/>
      </w:r>
      <w:r w:rsidRPr="008C4C59">
        <w:rPr>
          <w:rFonts w:ascii="Traditional Arabic" w:eastAsia="Calibri" w:hAnsi="Traditional Arabic" w:cs="Traditional Arabic"/>
          <w:sz w:val="32"/>
          <w:szCs w:val="32"/>
          <w:rtl/>
        </w:rPr>
        <w:t>.</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وهذا الوصف الذي وصف به هؤلاء الأنبياء من أعظم ما يوصف به العبد، ولهذا كان رسول الله صلى الله عليه وسلم يجد ويجتهد في العبادة حتى ينال هذا الوصف، ولم تعرف البشرية في تاريخها الطويل كله من كان يتجه إلى الله تبارك وتعالى بالثناء الجميل والحمد الوفير والشكر الجزيل مثل ما كان يفعله المصطفى صلوات الله وسلامه عليه، فقد كان عليه الصلاة والسلام يشكر ربه ويثني عليه حتى تتورم </w:t>
      </w:r>
      <w:r w:rsidRPr="008C4C59">
        <w:rPr>
          <w:rFonts w:ascii="Traditional Arabic" w:eastAsia="Calibri" w:hAnsi="Traditional Arabic" w:cs="Traditional Arabic"/>
          <w:sz w:val="32"/>
          <w:szCs w:val="32"/>
          <w:rtl/>
        </w:rPr>
        <w:lastRenderedPageBreak/>
        <w:t>قدماه، وكانت عائشة رضي الله عنها تشفق عليه وتسأله؛ أتفعل هذا وقد غفر الله لك ما تقدم من ذنبك وما تأخر؟ فيقول لها: "</w:t>
      </w:r>
      <w:r w:rsidRPr="008C4C59">
        <w:rPr>
          <w:rFonts w:ascii="Traditional Arabic" w:eastAsia="Calibri" w:hAnsi="Traditional Arabic" w:cs="Traditional Arabic"/>
          <w:b/>
          <w:bCs/>
          <w:sz w:val="32"/>
          <w:szCs w:val="32"/>
          <w:rtl/>
        </w:rPr>
        <w:t>أفلا أكون عبدًا شكورًا"</w:t>
      </w:r>
      <w:r w:rsidRPr="008C4C59">
        <w:rPr>
          <w:rFonts w:ascii="Traditional Arabic" w:eastAsia="Calibri" w:hAnsi="Traditional Arabic" w:cs="Traditional Arabic"/>
          <w:sz w:val="32"/>
          <w:szCs w:val="32"/>
          <w:vertAlign w:val="superscript"/>
          <w:rtl/>
        </w:rPr>
        <w:footnoteReference w:id="5"/>
      </w:r>
      <w:r w:rsidRPr="008C4C59">
        <w:rPr>
          <w:rFonts w:ascii="Traditional Arabic" w:eastAsia="Calibri" w:hAnsi="Traditional Arabic" w:cs="Traditional Arabic"/>
          <w:sz w:val="32"/>
          <w:szCs w:val="32"/>
          <w:rtl/>
        </w:rPr>
        <w:t>.</w:t>
      </w:r>
    </w:p>
    <w:p w:rsid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والحديث يطول عن شكره عليه الصلاة والسلام خاصة، وشكر الأنبياء من قبله عامة، وقد كان هذا هو منهج الخلفاء الراشدين، يعرف ذلك كل من يرجع إلى سيرتهم الحميدة وكذلك كان شأن بقية الصحابة والتابعين والسلف الصالح رضي الله عنهم أجمعين.</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p>
    <w:p w:rsidR="008C4C59" w:rsidRPr="008C4C59" w:rsidRDefault="008C4C59" w:rsidP="008C4C59">
      <w:pPr>
        <w:rPr>
          <w:rFonts w:ascii="Traditional Arabic" w:eastAsia="Calibri" w:hAnsi="Traditional Arabic" w:cs="Traditional Arabic"/>
          <w:b/>
          <w:bCs/>
          <w:sz w:val="32"/>
          <w:szCs w:val="32"/>
          <w:rtl/>
        </w:rPr>
      </w:pPr>
      <w:bookmarkStart w:id="1" w:name="_Toc524161150"/>
      <w:r w:rsidRPr="008C4C59">
        <w:rPr>
          <w:rFonts w:ascii="Traditional Arabic" w:eastAsia="Calibri" w:hAnsi="Traditional Arabic" w:cs="Traditional Arabic"/>
          <w:b/>
          <w:bCs/>
          <w:sz w:val="32"/>
          <w:szCs w:val="32"/>
          <w:rtl/>
        </w:rPr>
        <w:t>بيان متعلق الشكر، وأنه النعم:</w:t>
      </w:r>
      <w:bookmarkEnd w:id="1"/>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سبق لنا في تقرير الفرق بين الحمد والشكر أن قلنا أن بينهما عمومًا وخصوصًا وقلنا أن الحمد موجبه المحاسن والإحسان، أما الشكر فموجبه هو الإحسان فقط، مما يبين أن متعلق الشكر هو النعم الكثيرة التي من الله بها على عباده، وعلى مقدمة هذه النعم لا شك هدايته للخلق إلى الإيمان به والإسلام له، ثم باقي النعم المتوالية التي يمن الله بها على من يشاء.</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فتذكر هذه النعم تحرك النفوس نحو محبة الله</w:t>
      </w:r>
      <w:r w:rsidRPr="008C4C59">
        <w:rPr>
          <w:rFonts w:ascii="Traditional Arabic" w:eastAsia="Calibri" w:hAnsi="Traditional Arabic" w:cs="Traditional Arabic"/>
          <w:sz w:val="32"/>
          <w:szCs w:val="32"/>
          <w:vertAlign w:val="superscript"/>
          <w:rtl/>
        </w:rPr>
        <w:footnoteReference w:id="6"/>
      </w:r>
      <w:r w:rsidRPr="008C4C59">
        <w:rPr>
          <w:rFonts w:ascii="Traditional Arabic" w:eastAsia="Calibri" w:hAnsi="Traditional Arabic" w:cs="Traditional Arabic"/>
          <w:sz w:val="32"/>
          <w:szCs w:val="32"/>
          <w:rtl/>
        </w:rPr>
        <w:t xml:space="preserve"> والاعتراف بربوبيته وألوهيته، مما يوجب على المخلوق شكر الخالق والإيمان به، قال شيخ الإسلام رحمه الله: (إنه إذا تذكر أنه مخلوق وأن الله خالقه، وليس له إلهًا وربًا كما ذكر، وذكر إحسان الله إليه، فهذا التذكر يدعوه إلى اعترافه بربوبية الله وتوحيده وإنعامه عليه، فيقتضي الإيمان والشكر"</w:t>
      </w:r>
      <w:r w:rsidRPr="008C4C59">
        <w:rPr>
          <w:rFonts w:ascii="Traditional Arabic" w:eastAsia="Calibri" w:hAnsi="Traditional Arabic" w:cs="Traditional Arabic"/>
          <w:sz w:val="32"/>
          <w:szCs w:val="32"/>
          <w:vertAlign w:val="superscript"/>
          <w:rtl/>
        </w:rPr>
        <w:footnoteReference w:id="7"/>
      </w:r>
      <w:r w:rsidRPr="008C4C59">
        <w:rPr>
          <w:rFonts w:ascii="Traditional Arabic" w:eastAsia="Calibri" w:hAnsi="Traditional Arabic" w:cs="Traditional Arabic"/>
          <w:sz w:val="32"/>
          <w:szCs w:val="32"/>
          <w:rtl/>
        </w:rPr>
        <w:t>.</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فالتذكر اسم جامع لكل ما أمر الله بتذكره، ومنه ذكر نعم الله على العبيد التي يليه شكره عليها الذي هو الغاية المقصودة من ورائها، يقول شيخ الإسلام رحمه الله: (والتذكر اسم جامع لكل ما أمر الله بتذكره، كما قال تعالى: {</w:t>
      </w:r>
      <w:r w:rsidRPr="008C4C59">
        <w:rPr>
          <w:rFonts w:ascii="Traditional Arabic" w:eastAsia="Calibri" w:hAnsi="Traditional Arabic" w:cs="Traditional Arabic"/>
          <w:b/>
          <w:bCs/>
          <w:sz w:val="32"/>
          <w:szCs w:val="32"/>
          <w:rtl/>
        </w:rPr>
        <w:t>أَوَلَمْ نُعَمِّرْكُمْ مَا يَتَذَكَّرُ فِيهِ مَنْ تَذَكَّرَ وَجَاءَكُمُ النَّذِيرُ فَذُوقُوا فَمَا لِلظَّالِمِينَ مِنْ نَصِيرٍ</w:t>
      </w:r>
      <w:r w:rsidRPr="008C4C59">
        <w:rPr>
          <w:rFonts w:ascii="Traditional Arabic" w:eastAsia="Calibri" w:hAnsi="Traditional Arabic" w:cs="Traditional Arabic"/>
          <w:sz w:val="32"/>
          <w:szCs w:val="32"/>
          <w:rtl/>
        </w:rPr>
        <w:t>} [فاطر: 37]</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أي قامت الحجة عليكم بالنذير الذي جاءكم، وبتعميركم عمرًا يتسع للتذكر.</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وقد أمر سبحانه بذكر نعمه في غير موضع، كقوله: {</w:t>
      </w:r>
      <w:r w:rsidRPr="008C4C59">
        <w:rPr>
          <w:rFonts w:ascii="Traditional Arabic" w:eastAsia="Calibri" w:hAnsi="Traditional Arabic" w:cs="Traditional Arabic"/>
          <w:b/>
          <w:bCs/>
          <w:sz w:val="32"/>
          <w:szCs w:val="32"/>
          <w:rtl/>
        </w:rPr>
        <w:t>وَاذْكُرُوا نِعْمَتَ اللَّهِ عَلَيْكُمْ وَمَا أَنْزَلَ عَلَيْكُمْ مِنَ الْكِتَابِ وَالْحِكْمَةِ يَعِظُكُمْ بِهِ وَاتَّقُوا اللَّهَ</w:t>
      </w:r>
      <w:r w:rsidRPr="008C4C59">
        <w:rPr>
          <w:rFonts w:ascii="Traditional Arabic" w:eastAsia="Calibri" w:hAnsi="Traditional Arabic" w:cs="Traditional Arabic"/>
          <w:sz w:val="32"/>
          <w:szCs w:val="32"/>
          <w:rtl/>
        </w:rPr>
        <w:t>} [البقرة: 231]</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lastRenderedPageBreak/>
        <w:t>والمطلوب بذكرها شكرها، كما قال تعالى: {</w:t>
      </w:r>
      <w:r w:rsidRPr="008C4C59">
        <w:rPr>
          <w:rFonts w:ascii="Traditional Arabic" w:eastAsia="Calibri" w:hAnsi="Traditional Arabic" w:cs="Traditional Arabic"/>
          <w:b/>
          <w:bCs/>
          <w:sz w:val="32"/>
          <w:szCs w:val="32"/>
          <w:rtl/>
        </w:rPr>
        <w:t>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 (150) كَمَا أَرْسَلْنَا فِيكُمْ رَسُولًا مِنْكُمْ يَتْلُو عَلَيْكُمْ آيَاتِنَا وَيُزَكِّيكُمْ وَيُعَلِّمُكُمُ الْكِتَابَ وَالْحِكْمَةَ وَيُعَلِّمُكُمْ مَا لَمْ تَكُونُوا تَعْلَمُونَ (151) فَاذْكُرُونِي أَذْكُرْكُمْ وَاشْكُرُوا لِي وَلَا تَكْفُرُونِ</w:t>
      </w:r>
      <w:r w:rsidRPr="008C4C59">
        <w:rPr>
          <w:rFonts w:ascii="Traditional Arabic" w:eastAsia="Calibri" w:hAnsi="Traditional Arabic" w:cs="Traditional Arabic"/>
          <w:sz w:val="32"/>
          <w:szCs w:val="32"/>
          <w:rtl/>
        </w:rPr>
        <w:t>} [البقرة: 150 - 152]</w:t>
      </w:r>
      <w:r w:rsidRPr="008C4C59">
        <w:rPr>
          <w:rFonts w:ascii="Traditional Arabic" w:eastAsia="Calibri" w:hAnsi="Traditional Arabic" w:cs="Traditional Arabic"/>
          <w:sz w:val="32"/>
          <w:szCs w:val="32"/>
          <w:vertAlign w:val="superscript"/>
          <w:rtl/>
        </w:rPr>
        <w:footnoteReference w:id="8"/>
      </w:r>
      <w:r w:rsidRPr="008C4C59">
        <w:rPr>
          <w:rFonts w:ascii="Traditional Arabic" w:eastAsia="Calibri" w:hAnsi="Traditional Arabic" w:cs="Traditional Arabic"/>
          <w:sz w:val="32"/>
          <w:szCs w:val="32"/>
          <w:rtl/>
        </w:rPr>
        <w:t>.</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والناظر في كتاب الله وسنة رسول الله صلى الله عليه وسلم يتبين له أن الله أمر بتذكر أنواع النعم التي أنعم بها عليهم يكون ذلك مقتضيًا لشكره وعبادته، ومن هذه النصوص قوله تعالى: </w:t>
      </w:r>
      <w:r w:rsidRPr="008C4C59">
        <w:rPr>
          <w:rFonts w:ascii="Traditional Arabic" w:eastAsia="Calibri" w:hAnsi="Traditional Arabic" w:cs="Traditional Arabic"/>
          <w:b/>
          <w:bCs/>
          <w:sz w:val="32"/>
          <w:szCs w:val="32"/>
          <w:rtl/>
        </w:rPr>
        <w:t>{وَاللَّهُ أَخْرَجَكُمْ مِنْ بُطُونِ أُمَّهَاتِكُمْ لَا تَعْلَمُونَ شَيْئًا وَجَعَلَ لَكُمُ السَّمْعَ وَالْأَبْصَارَ وَالْأَفْئِدَةَ لَعَلَّكُمْ تَشْكُرُونَ}</w:t>
      </w:r>
      <w:r w:rsidRPr="008C4C59">
        <w:rPr>
          <w:rFonts w:ascii="Traditional Arabic" w:eastAsia="Calibri" w:hAnsi="Traditional Arabic" w:cs="Traditional Arabic"/>
          <w:sz w:val="32"/>
          <w:szCs w:val="32"/>
          <w:rtl/>
        </w:rPr>
        <w:t xml:space="preserve"> [النحل: 78]</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يذكر الله بدء خلق الإنسان وأنه أخرجه من بطن أمه لا يعلم شيئًا، فركب فيه هذه الحواس لتكون وسيلة للإدراك، وخص هذه الثلاثة لأنها أمهات ما ينال به العلم، وكل ذلك لأجل أن يشكروا الله باستعمال ما أعطاهم من هذه الجوارح في طاعة الله.</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فينظر الواحد في نعمة واحدة من هذه النعم الثلاث، وهي مثلا نعمة الإبصار، سوءا بواسطة حاسة البصر الخارجية التي هي العين، أو الحاسة الداخلية التي هي العين، أو الحاسة الداخلية التي هي القلب، فهذه النعمة التي يتمتع كل إنسان سوي، لو قام العبد عمره كله في شكرها لم يتمكن من ذلك، فكيف بالثلاث التي قال فيها شيخ الإسلام: (ثم هذه الأعضاء الثلاثة هي أمهات ما ينال به العلم ويدرك، أعني العلم الذي يمتاز به البشر عن سائر الحيوانات دون ما يشاركها فيه، من الشم والذوق واللمس، وهنا يدرك به ما حيب ويكره، وما يميز به من يحسن إليه ومن يسيء إليه إلى غير ذلك"</w:t>
      </w:r>
      <w:r w:rsidRPr="008C4C59">
        <w:rPr>
          <w:rFonts w:ascii="Traditional Arabic" w:eastAsia="Calibri" w:hAnsi="Traditional Arabic" w:cs="Traditional Arabic"/>
          <w:sz w:val="32"/>
          <w:szCs w:val="32"/>
          <w:vertAlign w:val="superscript"/>
          <w:rtl/>
        </w:rPr>
        <w:footnoteReference w:id="9"/>
      </w:r>
      <w:r w:rsidRPr="008C4C59">
        <w:rPr>
          <w:rFonts w:ascii="Traditional Arabic" w:eastAsia="Calibri" w:hAnsi="Traditional Arabic" w:cs="Traditional Arabic"/>
          <w:sz w:val="32"/>
          <w:szCs w:val="32"/>
          <w:rtl/>
        </w:rPr>
        <w:t>.</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وقال تعالى: </w:t>
      </w:r>
      <w:r w:rsidRPr="008C4C59">
        <w:rPr>
          <w:rFonts w:ascii="Traditional Arabic" w:eastAsia="Calibri" w:hAnsi="Traditional Arabic" w:cs="Traditional Arabic"/>
          <w:b/>
          <w:bCs/>
          <w:sz w:val="32"/>
          <w:szCs w:val="32"/>
          <w:rtl/>
        </w:rPr>
        <w:t>{وَمِنْ رَحْمَتِهِ جَعَلَ لَكُمُ اللَّيْلَ وَالنَّهَارَ لِتَسْكُنُوا فِيهِ وَلِتَبْتَغُوا مِنْ فَضْلِهِ وَلَعَلَّكُمْ تَشْكُرُونَ }</w:t>
      </w:r>
      <w:r w:rsidRPr="008C4C59">
        <w:rPr>
          <w:rFonts w:ascii="Traditional Arabic" w:eastAsia="Calibri" w:hAnsi="Traditional Arabic" w:cs="Traditional Arabic"/>
          <w:sz w:val="32"/>
          <w:szCs w:val="32"/>
          <w:rtl/>
        </w:rPr>
        <w:t xml:space="preserve"> [القصص: 73]، وهنا يذكر الله نعمة أخرى هي من أعظم النعم التي تدعو إلى شكر الله والقيام بعبوديته، وهي نعمة الليل التي جعلها ليسكن فيها العباد ويستريحوا، ونعمة النهار التي جعلها ليشتغلوا فيه بما يعود إليهم بالنفع العاجل والآجل.</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 xml:space="preserve">وهذه النعم التي مر ذكرها يشترك فيها المؤمن والكافر، لكن الله خص المسلمين ببعض النعم خالصة لهم دون غيرهم، ومن هذه النعم ما قال تعالى في شأن المهاجرين: </w:t>
      </w:r>
      <w:r w:rsidRPr="008C4C59">
        <w:rPr>
          <w:rFonts w:ascii="Traditional Arabic" w:eastAsia="Calibri" w:hAnsi="Traditional Arabic" w:cs="Traditional Arabic"/>
          <w:b/>
          <w:bCs/>
          <w:sz w:val="32"/>
          <w:szCs w:val="32"/>
          <w:rtl/>
        </w:rPr>
        <w:t xml:space="preserve">{وَاذْكُرُوا إِذْ أَنْتُمْ قَلِيلٌ مُسْتَضْعَفُونَ </w:t>
      </w:r>
      <w:r w:rsidRPr="008C4C59">
        <w:rPr>
          <w:rFonts w:ascii="Traditional Arabic" w:eastAsia="Calibri" w:hAnsi="Traditional Arabic" w:cs="Traditional Arabic"/>
          <w:b/>
          <w:bCs/>
          <w:sz w:val="32"/>
          <w:szCs w:val="32"/>
          <w:rtl/>
        </w:rPr>
        <w:lastRenderedPageBreak/>
        <w:t xml:space="preserve">فِي الْأَرْضِ تَخَافُونَ أَنْ يَتَخَطَّفَكُمُ النَّاسُ فَآوَاكُمْ وَأَيَّدَكُمْ بِنَصْرِهِ وَرَزَقَكُمْ مِنَ الطَّيِّبَاتِ لَعَلَّكُمْ تَشْكُرُونَ} </w:t>
      </w:r>
      <w:r w:rsidRPr="008C4C59">
        <w:rPr>
          <w:rFonts w:ascii="Traditional Arabic" w:eastAsia="Calibri" w:hAnsi="Traditional Arabic" w:cs="Traditional Arabic"/>
          <w:sz w:val="32"/>
          <w:szCs w:val="32"/>
          <w:rtl/>
        </w:rPr>
        <w:t>[الأنفال: 26].</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أي يقول تعالى ممتنًا على عباده في نصرهم بعد الذلة، وتكثيرهم بعد القلة، وإغنائهم بعد العيلة، اذكروا حالكم قبل ذلك حين كنتم في مكة مستضعفين مقهورين تحت حكم غيركم، تخافون أن ينال منكم كل لحظة، فمن الله عليكم أن جعل لكم بلدًا تأوون إليه وهي المدينة، وانتصر من أعدائكم على أيديكم، وغنمتم من أموالهم ما كنتم به أغنياء، فكل هذا أن يتذكروها دائمًا، ويشكروا الله عليها أبدًا</w:t>
      </w:r>
      <w:r w:rsidRPr="008C4C59">
        <w:rPr>
          <w:rFonts w:ascii="Traditional Arabic" w:eastAsia="Calibri" w:hAnsi="Traditional Arabic" w:cs="Traditional Arabic"/>
          <w:sz w:val="32"/>
          <w:szCs w:val="32"/>
          <w:vertAlign w:val="superscript"/>
          <w:rtl/>
        </w:rPr>
        <w:footnoteReference w:id="10"/>
      </w:r>
      <w:r w:rsidRPr="008C4C59">
        <w:rPr>
          <w:rFonts w:ascii="Traditional Arabic" w:eastAsia="Calibri" w:hAnsi="Traditional Arabic" w:cs="Traditional Arabic"/>
          <w:sz w:val="32"/>
          <w:szCs w:val="32"/>
          <w:rtl/>
        </w:rPr>
        <w:t>.</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r w:rsidRPr="008C4C59">
        <w:rPr>
          <w:rFonts w:ascii="Traditional Arabic" w:eastAsia="Calibri" w:hAnsi="Traditional Arabic" w:cs="Traditional Arabic"/>
          <w:sz w:val="32"/>
          <w:szCs w:val="32"/>
          <w:rtl/>
        </w:rPr>
        <w:t>فالحاصل أن هذه الآيات وأمثالها تذكرنا أن متعلق الشكر هو النعم، وأن نعمة علينا كثيرة، وأن علينا أن نشكر الله فيها، ونزداد من العمل بما يرضيه عنا.</w:t>
      </w:r>
    </w:p>
    <w:p w:rsidR="008C4C59" w:rsidRPr="008C4C59" w:rsidRDefault="008C4C59" w:rsidP="008C4C59">
      <w:pPr>
        <w:spacing w:before="120" w:after="120" w:line="240" w:lineRule="auto"/>
        <w:ind w:firstLine="227"/>
        <w:jc w:val="lowKashida"/>
        <w:rPr>
          <w:rFonts w:ascii="Traditional Arabic" w:eastAsia="Calibri" w:hAnsi="Traditional Arabic" w:cs="Traditional Arabic"/>
          <w:sz w:val="32"/>
          <w:szCs w:val="32"/>
          <w:rtl/>
        </w:rPr>
      </w:pPr>
    </w:p>
    <w:p w:rsidR="00AE5765" w:rsidRDefault="00AE5765"/>
    <w:sectPr w:rsidR="00AE5765" w:rsidSect="00953D22">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DC" w:rsidRDefault="00573FDC" w:rsidP="008C4C59">
      <w:pPr>
        <w:spacing w:after="0" w:line="240" w:lineRule="auto"/>
      </w:pPr>
      <w:r>
        <w:separator/>
      </w:r>
    </w:p>
  </w:endnote>
  <w:endnote w:type="continuationSeparator" w:id="0">
    <w:p w:rsidR="00573FDC" w:rsidRDefault="00573FDC" w:rsidP="008C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DC" w:rsidRDefault="00573FDC" w:rsidP="008C4C59">
      <w:pPr>
        <w:spacing w:after="0" w:line="240" w:lineRule="auto"/>
      </w:pPr>
      <w:r>
        <w:separator/>
      </w:r>
    </w:p>
  </w:footnote>
  <w:footnote w:type="continuationSeparator" w:id="0">
    <w:p w:rsidR="00573FDC" w:rsidRDefault="00573FDC" w:rsidP="008C4C59">
      <w:pPr>
        <w:spacing w:after="0" w:line="240" w:lineRule="auto"/>
      </w:pPr>
      <w:r>
        <w:continuationSeparator/>
      </w:r>
    </w:p>
  </w:footnote>
  <w:footnote w:id="1">
    <w:p w:rsidR="008C4C59" w:rsidRPr="00C952F9" w:rsidRDefault="008C4C59" w:rsidP="008C4C59">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تفسير ابن كثير، (ص 3/37)</w:t>
      </w:r>
    </w:p>
  </w:footnote>
  <w:footnote w:id="2">
    <w:p w:rsidR="008C4C59" w:rsidRPr="00C952F9" w:rsidRDefault="008C4C59" w:rsidP="008C4C59">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فتح البيان، ص 7/354</w:t>
      </w:r>
    </w:p>
  </w:footnote>
  <w:footnote w:id="3">
    <w:p w:rsidR="008C4C59" w:rsidRPr="00C952F9" w:rsidRDefault="008C4C59" w:rsidP="008C4C59">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عدة الصابرين، ص 223</w:t>
      </w:r>
    </w:p>
  </w:footnote>
  <w:footnote w:id="4">
    <w:p w:rsidR="008C4C59" w:rsidRPr="00C952F9" w:rsidRDefault="008C4C59" w:rsidP="008C4C59">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تفسير ابن كثير (3/474)</w:t>
      </w:r>
    </w:p>
  </w:footnote>
  <w:footnote w:id="5">
    <w:p w:rsidR="008C4C59" w:rsidRPr="00C952F9" w:rsidRDefault="008C4C59" w:rsidP="008C4C59">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أخرجه البخاري في صحيحه، كتاب التهجد، باب: قيام النبي صلى الله عليه وسلم الليل حتى ترم قدماه، رقم الحديث: 1130، ص 2/50.</w:t>
      </w:r>
    </w:p>
  </w:footnote>
  <w:footnote w:id="6">
    <w:p w:rsidR="008C4C59" w:rsidRPr="00C952F9" w:rsidRDefault="008C4C59" w:rsidP="008C4C59">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مجموع الفتاوى، ص 1/96.</w:t>
      </w:r>
    </w:p>
  </w:footnote>
  <w:footnote w:id="7">
    <w:p w:rsidR="008C4C59" w:rsidRPr="00C952F9" w:rsidRDefault="008C4C59" w:rsidP="008C4C59">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المرجع السابق، ص 16/179</w:t>
      </w:r>
    </w:p>
  </w:footnote>
  <w:footnote w:id="8">
    <w:p w:rsidR="008C4C59" w:rsidRPr="00C952F9" w:rsidRDefault="008C4C59" w:rsidP="008C4C59">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نفس المصدر، ص 16/188- 189</w:t>
      </w:r>
    </w:p>
  </w:footnote>
  <w:footnote w:id="9">
    <w:p w:rsidR="008C4C59" w:rsidRPr="00C952F9" w:rsidRDefault="008C4C59" w:rsidP="008C4C59">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مجموع الفتاوى، ص 9/309-310</w:t>
      </w:r>
    </w:p>
  </w:footnote>
  <w:footnote w:id="10">
    <w:p w:rsidR="008C4C59" w:rsidRPr="00C952F9" w:rsidRDefault="008C4C59" w:rsidP="008C4C59">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تفسير السعدي، ص 319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59"/>
    <w:rsid w:val="00573FDC"/>
    <w:rsid w:val="00783229"/>
    <w:rsid w:val="008C4C59"/>
    <w:rsid w:val="00953D22"/>
    <w:rsid w:val="00AE5765"/>
    <w:rsid w:val="00E24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1EF9"/>
  <w15:chartTrackingRefBased/>
  <w15:docId w15:val="{9692902A-0550-4E6D-AE90-7EDE9B5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4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C59"/>
    <w:rPr>
      <w:sz w:val="20"/>
      <w:szCs w:val="20"/>
    </w:rPr>
  </w:style>
  <w:style w:type="character" w:styleId="FootnoteReference">
    <w:name w:val="footnote reference"/>
    <w:basedOn w:val="DefaultParagraphFont"/>
    <w:uiPriority w:val="99"/>
    <w:semiHidden/>
    <w:unhideWhenUsed/>
    <w:rsid w:val="008C4C59"/>
    <w:rPr>
      <w:vertAlign w:val="superscript"/>
    </w:rPr>
  </w:style>
  <w:style w:type="character" w:styleId="CommentReference">
    <w:name w:val="annotation reference"/>
    <w:basedOn w:val="DefaultParagraphFont"/>
    <w:uiPriority w:val="99"/>
    <w:semiHidden/>
    <w:unhideWhenUsed/>
    <w:rsid w:val="008C4C59"/>
    <w:rPr>
      <w:sz w:val="16"/>
      <w:szCs w:val="16"/>
    </w:rPr>
  </w:style>
  <w:style w:type="paragraph" w:styleId="CommentText">
    <w:name w:val="annotation text"/>
    <w:basedOn w:val="Normal"/>
    <w:link w:val="CommentTextChar"/>
    <w:uiPriority w:val="99"/>
    <w:semiHidden/>
    <w:unhideWhenUsed/>
    <w:rsid w:val="008C4C59"/>
    <w:pPr>
      <w:spacing w:line="240" w:lineRule="auto"/>
    </w:pPr>
    <w:rPr>
      <w:sz w:val="20"/>
      <w:szCs w:val="20"/>
    </w:rPr>
  </w:style>
  <w:style w:type="character" w:customStyle="1" w:styleId="CommentTextChar">
    <w:name w:val="Comment Text Char"/>
    <w:basedOn w:val="DefaultParagraphFont"/>
    <w:link w:val="CommentText"/>
    <w:uiPriority w:val="99"/>
    <w:semiHidden/>
    <w:rsid w:val="008C4C59"/>
    <w:rPr>
      <w:sz w:val="20"/>
      <w:szCs w:val="20"/>
    </w:rPr>
  </w:style>
  <w:style w:type="paragraph" w:styleId="BalloonText">
    <w:name w:val="Balloon Text"/>
    <w:basedOn w:val="Normal"/>
    <w:link w:val="BalloonTextChar"/>
    <w:uiPriority w:val="99"/>
    <w:semiHidden/>
    <w:unhideWhenUsed/>
    <w:rsid w:val="008C4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2</cp:revision>
  <dcterms:created xsi:type="dcterms:W3CDTF">2020-03-21T08:23:00Z</dcterms:created>
  <dcterms:modified xsi:type="dcterms:W3CDTF">2020-03-21T08:27:00Z</dcterms:modified>
</cp:coreProperties>
</file>